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160" w:firstLineChars="1300"/>
        <w:rPr>
          <w:rFonts w:hint="default"/>
          <w:color w:val="auto"/>
          <w:highlight w:val="none"/>
          <w:lang w:val="en-US"/>
        </w:rPr>
      </w:pPr>
      <w:r>
        <w:rPr>
          <w:rFonts w:hint="eastAsia" w:ascii="仿宋_GB2312" w:hAnsi="宋体"/>
          <w:color w:val="auto"/>
          <w:sz w:val="32"/>
          <w:szCs w:val="32"/>
          <w:highlight w:val="none"/>
          <w:lang w:val="en-US" w:eastAsia="zh-CN"/>
        </w:rPr>
        <w:t>招标公告</w:t>
      </w:r>
    </w:p>
    <w:tbl>
      <w:tblPr>
        <w:tblStyle w:val="3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008"/>
        <w:gridCol w:w="5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2"/>
                <w:szCs w:val="21"/>
                <w:highlight w:val="none"/>
              </w:rPr>
              <w:t>序号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2"/>
                <w:szCs w:val="21"/>
                <w:highlight w:val="none"/>
              </w:rPr>
              <w:t>内容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2"/>
                <w:szCs w:val="21"/>
                <w:highlight w:val="none"/>
              </w:rPr>
              <w:t>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1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招标内容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Calibri" w:hAnsi="Calibri" w:eastAsia="仿宋_GB2312" w:cs="Times New Roman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color w:val="auto"/>
                <w:sz w:val="22"/>
                <w:szCs w:val="21"/>
                <w:highlight w:val="none"/>
                <w:lang w:val="en-US" w:eastAsia="zh-CN"/>
              </w:rPr>
              <w:t>2020-2021年 北京同德永益商贸有限贵公司供应大型国企京津冀：华东、华南区域范围项目所需钢材</w:t>
            </w:r>
          </w:p>
          <w:p>
            <w:pPr>
              <w:spacing w:line="0" w:lineRule="atLeast"/>
              <w:rPr>
                <w:rFonts w:hint="default" w:ascii="Calibri" w:hAnsi="Calibri" w:eastAsia="仿宋_GB2312" w:cs="Times New Roman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2"/>
                <w:szCs w:val="21"/>
                <w:highlight w:val="none"/>
                <w:lang w:val="en-US" w:eastAsia="zh-CN"/>
              </w:rPr>
              <w:t>采购数量：约14万吨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2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资金来源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2"/>
                <w:szCs w:val="21"/>
                <w:highlight w:val="none"/>
                <w:lang w:eastAsia="zh-CN"/>
              </w:rPr>
              <w:t>北京同德永益商贸有限贵公司自有</w:t>
            </w:r>
            <w:r>
              <w:rPr>
                <w:rFonts w:eastAsia="仿宋_GB2312"/>
                <w:bCs/>
                <w:color w:val="auto"/>
                <w:sz w:val="22"/>
                <w:szCs w:val="21"/>
                <w:highlight w:val="none"/>
              </w:rPr>
              <w:t>资金支付。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3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投标资格要求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通过本次招标资格审查的供应商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4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招标答疑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答疑形式：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平台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答疑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疑问提交要求：投标人应在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年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日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12 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时前将相关投标疑问通过</w:t>
            </w:r>
            <w:r>
              <w:rPr>
                <w:rFonts w:hint="eastAsia" w:eastAsia="仿宋_GB2312"/>
                <w:bCs/>
                <w:color w:val="auto"/>
                <w:sz w:val="24"/>
                <w:szCs w:val="24"/>
                <w:highlight w:val="none"/>
              </w:rPr>
              <w:t>平安城科“智采平台”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提交。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其他要求详见招标文件，投标人应在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年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 6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 14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日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时前将相关投标疑问通过平安城科“智采平台”提交，招标人在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年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15 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日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12 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时通过平台统一答复。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5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投标方式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采用平安城科“智采平台”网络投标的方式。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6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投标文件份数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网络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投标：按照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平安城科“智采平台”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相关要求填报。</w:t>
            </w:r>
          </w:p>
          <w:p>
            <w:p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投标有效期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投标书递交后60天内有效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投标截止时间及纸质标书递交地址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投标截止时间：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年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6 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16 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日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12 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时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；</w:t>
            </w:r>
          </w:p>
          <w:p>
            <w:pPr>
              <w:spacing w:line="0" w:lineRule="atLeast"/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开标时间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年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 6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日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 12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时起，如有变化另行通知。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评标原则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合理低价原则，对明显低于成本的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投标人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直接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“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废标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”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调价要求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ind w:left="77"/>
              <w:jc w:val="left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1、调价范围：开标后经评定入围邀请调价的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投标人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。</w:t>
            </w:r>
          </w:p>
          <w:p>
            <w:pPr>
              <w:spacing w:line="0" w:lineRule="atLeast"/>
              <w:ind w:left="77"/>
              <w:jc w:val="left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2、调价方式：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平台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调价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。</w:t>
            </w:r>
          </w:p>
          <w:p>
            <w:pPr>
              <w:spacing w:line="0" w:lineRule="atLeast"/>
              <w:ind w:left="77"/>
              <w:jc w:val="left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3、调价时间：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eastAsia="zh-CN"/>
              </w:rPr>
              <w:t>20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年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 xml:space="preserve"> 6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月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 xml:space="preserve"> 17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日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，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请各投标人务必于当日9时起安排专人在电脑前等待调价，入围调价的投标人将收到平台提示，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未在规定时间内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完成调价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反馈的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投标人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将视为不响应招标要求，自动放弃中标机会。</w:t>
            </w:r>
          </w:p>
          <w:p>
            <w:pPr>
              <w:spacing w:line="0" w:lineRule="atLeast"/>
              <w:ind w:left="77"/>
              <w:jc w:val="left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具体要求及操作说明详见投标调价操作手册。</w:t>
            </w:r>
          </w:p>
        </w:tc>
      </w:tr>
    </w:tbl>
    <w:p>
      <w:pPr>
        <w:rPr>
          <w:color w:val="auto"/>
          <w:highlight w:val="none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rPr>
        <w:rFonts w:hint="eastAsia" w:eastAsia="宋体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03073"/>
    <w:rsid w:val="2BA53881"/>
    <w:rsid w:val="65602F5E"/>
    <w:rsid w:val="7FB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2020-06-12T07:10:13Z</dcterms:created>
  <dc:creator>dell</dc:creator>
  <cp:lastModifiedBy>dell</cp:lastModifiedBy>
  <dcterms:modified xsi:type="dcterms:W3CDTF">2020-06-12T07:12:14Z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