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佳木斯养护分公司更换桥铭牌项目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56585290"/>
      <w:bookmarkStart w:id="4" w:name="_Toc211570245"/>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5"/>
      <w:bookmarkStart w:id="10" w:name="OLE_LINK3"/>
      <w:bookmarkStart w:id="11" w:name="OLE_LINK1"/>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黑龙江省交投高速公路运营管理有限公司佳木斯养护分公司更换桥铭牌项目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jc w:val="left"/>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FYZB-2021-0732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黑龙江省交投高速公路运营管理有限公司佳木斯养护分公司更换桥铭牌项目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更换</w:t>
      </w:r>
      <w:r>
        <w:rPr>
          <w:rFonts w:hint="eastAsia"/>
          <w:color w:val="auto"/>
          <w:sz w:val="24"/>
          <w:lang w:val="en-US" w:eastAsia="zh-CN"/>
        </w:rPr>
        <w:t>818块桥铭牌，</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2021年08月15日前。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6.2.1保证金金额：小写：1200.00元；大写：壹仟贰佰元整。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w:t>
      </w:r>
      <w:bookmarkStart w:id="26" w:name="_GoBack"/>
      <w:bookmarkEnd w:id="26"/>
      <w:r>
        <w:rPr>
          <w:rFonts w:hint="eastAsia" w:ascii="宋体" w:hAnsi="宋体"/>
          <w:bCs/>
          <w:color w:val="auto"/>
          <w:sz w:val="24"/>
        </w:rPr>
        <w:t>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13206996567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125CDA"/>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B812F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BE2630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B37CA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5B478B"/>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2021-07-15T05:48:47Z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