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佳木斯养护分公司交通安全设施采购项目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FYZB-2021-0338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pacing w:line="660" w:lineRule="exact"/>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佳木斯养护分公司</w:t>
      </w:r>
    </w:p>
    <w:p>
      <w:pPr>
        <w:pStyle w:val="2"/>
        <w:rPr>
          <w:rFonts w:hint="eastAsia"/>
          <w:color w:val="auto"/>
          <w:lang w:val="en-US" w:eastAsia="zh-CN"/>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211570245"/>
      <w:bookmarkStart w:id="3" w:name="_Toc156585290"/>
      <w:bookmarkStart w:id="4" w:name="_Toc145806782"/>
      <w:bookmarkStart w:id="5" w:name="_Toc60537380"/>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4"/>
      <w:bookmarkStart w:id="10" w:name="OLE_LINK1"/>
      <w:bookmarkStart w:id="11" w:name="OLE_LINK3"/>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黑龙江省交投高速公路运营管理有限公司佳木斯养护分公司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黑龙江省交投高速公路运营管理有限公司佳木斯养护分公司交通安全设施采购项目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FYZB-2021-0338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黑龙江省交投高速公路运营管理有限公司佳木斯养护分公司交通安全设施采购项目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标志牌</w:t>
      </w:r>
      <w:r>
        <w:rPr>
          <w:rFonts w:hint="eastAsia"/>
          <w:color w:val="auto"/>
          <w:sz w:val="24"/>
          <w:lang w:val="en-US" w:eastAsia="zh-CN"/>
        </w:rPr>
        <w:t>、路锥、反光马甲采购，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：货到验收合格后</w:t>
      </w:r>
      <w:r>
        <w:rPr>
          <w:rFonts w:hint="eastAsia" w:cs="宋体"/>
          <w:color w:val="auto"/>
          <w:lang w:val="en-US" w:eastAsia="zh-CN"/>
        </w:rPr>
        <w:t>7日内付款。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2021年03月30日前交货。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1.7质保期：三个月。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3.1采购预算金额为190000.00元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6.2.1保证金金额：小写：3800.00元；大写：叁仟捌佰元整。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2021年03月24日10时00分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190000.00元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2021年03月23日10时00分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24</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人：黑龙江省交投高速公路运营管理有限公司佳木斯养护分公司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址：黑龙江省佳木斯市向阳西区水利社区1号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人：卢先生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13351669000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w:t>
      </w:r>
      <w:bookmarkStart w:id="26" w:name="_GoBack"/>
      <w:bookmarkEnd w:id="26"/>
      <w:r>
        <w:rPr>
          <w:rFonts w:hint="eastAsia" w:ascii="宋体" w:hAnsi="宋体" w:eastAsia="宋体" w:cs="Times New Roman"/>
          <w:color w:val="auto"/>
          <w:sz w:val="24"/>
          <w:szCs w:val="24"/>
        </w:rPr>
        <w:t>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0B0F8E"/>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B9A727A"/>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5</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2021-03-17T08:47:21Z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