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24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哈尔滨南养护分公司融雪剂采购项目</w:t>
      </w:r>
    </w:p>
    <w:p>
      <w:pPr>
        <w:pStyle w:val="2"/>
        <w:rPr>
          <w:rFonts w:hint="eastAsia" w:ascii="宋体" w:hAnsi="宋体"/>
          <w:b/>
          <w:color w:val="FF0000"/>
          <w:sz w:val="44"/>
          <w:szCs w:val="44"/>
          <w:lang w:val="en-US" w:eastAsia="zh-CN"/>
        </w:rPr>
      </w:pPr>
    </w:p>
    <w:p>
      <w:pPr>
        <w:rPr>
          <w:rFonts w:hint="eastAsia"/>
          <w:lang w:val="en-US" w:eastAsia="zh-CN"/>
        </w:rPr>
      </w:pPr>
    </w:p>
    <w:p>
      <w:pPr>
        <w:pStyle w:val="2"/>
        <w:rPr>
          <w:rFonts w:hint="eastAsia"/>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FYZB-2021-0201</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9"/>
        <w:ind w:firstLine="643"/>
        <w:rPr>
          <w:rFonts w:ascii="宋体" w:hAnsi="宋体" w:cs="Arial"/>
          <w:b/>
          <w:color w:val="auto"/>
          <w:sz w:val="32"/>
          <w:szCs w:val="32"/>
        </w:rPr>
      </w:pPr>
    </w:p>
    <w:p>
      <w:pPr>
        <w:tabs>
          <w:tab w:val="left" w:pos="500"/>
        </w:tabs>
        <w:snapToGrid w:val="0"/>
        <w:jc w:val="left"/>
        <w:rPr>
          <w:rFonts w:hint="eastAsia" w:ascii="宋体" w:hAnsi="宋体"/>
          <w:b/>
          <w:color w:val="auto"/>
          <w:sz w:val="32"/>
          <w:szCs w:val="32"/>
        </w:rPr>
      </w:pPr>
    </w:p>
    <w:p>
      <w:pPr>
        <w:tabs>
          <w:tab w:val="left" w:pos="500"/>
        </w:tabs>
        <w:snapToGrid w:val="0"/>
        <w:jc w:val="center"/>
        <w:rPr>
          <w:rFonts w:hint="eastAsia" w:ascii="宋体" w:hAnsi="宋体"/>
          <w:b/>
          <w:color w:val="auto"/>
          <w:sz w:val="32"/>
          <w:szCs w:val="32"/>
          <w:lang w:val="en-US" w:eastAsia="zh-CN"/>
        </w:rPr>
      </w:pPr>
      <w:r>
        <w:rPr>
          <w:rFonts w:hint="eastAsia" w:ascii="宋体" w:hAnsi="宋体"/>
          <w:b/>
          <w:color w:val="auto"/>
          <w:sz w:val="32"/>
          <w:szCs w:val="32"/>
        </w:rPr>
        <w:t>采购人：</w:t>
      </w:r>
      <w:r>
        <w:rPr>
          <w:rFonts w:hint="eastAsia" w:ascii="宋体" w:hAnsi="宋体"/>
          <w:b/>
          <w:color w:val="auto"/>
          <w:sz w:val="32"/>
          <w:szCs w:val="32"/>
          <w:lang w:val="en-US" w:eastAsia="zh-CN"/>
        </w:rPr>
        <w:t>黑龙江省交投高速公路运营管理有限公司</w:t>
      </w:r>
    </w:p>
    <w:p>
      <w:pPr>
        <w:tabs>
          <w:tab w:val="left" w:pos="500"/>
        </w:tabs>
        <w:snapToGrid w:val="0"/>
        <w:jc w:val="center"/>
        <w:rPr>
          <w:rFonts w:hint="eastAsia" w:ascii="宋体" w:hAnsi="宋体"/>
          <w:b/>
          <w:color w:val="auto"/>
          <w:sz w:val="32"/>
          <w:szCs w:val="32"/>
        </w:rPr>
      </w:pPr>
      <w:r>
        <w:rPr>
          <w:rFonts w:hint="eastAsia" w:ascii="宋体" w:hAnsi="宋体"/>
          <w:b/>
          <w:color w:val="auto"/>
          <w:sz w:val="32"/>
          <w:szCs w:val="32"/>
          <w:lang w:val="en-US" w:eastAsia="zh-CN"/>
        </w:rPr>
        <w:t>哈尔滨南养护分公司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5"/>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6"/>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145806782"/>
      <w:bookmarkStart w:id="3" w:name="_Toc211570245"/>
      <w:bookmarkStart w:id="4" w:name="_Toc156585290"/>
      <w:bookmarkStart w:id="5" w:name="_Toc6053738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keepNext w:val="0"/>
        <w:keepLines w:val="0"/>
        <w:pageBreakBefore w:val="0"/>
        <w:widowControl w:val="0"/>
        <w:tabs>
          <w:tab w:val="left" w:pos="500"/>
        </w:tabs>
        <w:kinsoku/>
        <w:wordWrap/>
        <w:overflowPunct/>
        <w:topLinePunct w:val="0"/>
        <w:autoSpaceDE/>
        <w:autoSpaceDN/>
        <w:bidi w:val="0"/>
        <w:adjustRightInd/>
        <w:snapToGrid w:val="0"/>
        <w:ind w:firstLine="480" w:firstLineChars="200"/>
        <w:jc w:val="left"/>
        <w:textAlignment w:val="auto"/>
        <w:rPr>
          <w:rFonts w:hint="default" w:ascii="Times New Roman" w:hAnsi="Times New Roman" w:cs="Times New Roman"/>
          <w:color w:val="auto"/>
          <w:sz w:val="21"/>
          <w:szCs w:val="21"/>
        </w:rPr>
      </w:pPr>
      <w:bookmarkStart w:id="8" w:name="OLE_LINK5"/>
      <w:bookmarkStart w:id="9" w:name="OLE_LINK4"/>
      <w:bookmarkStart w:id="10" w:name="OLE_LINK1"/>
      <w:bookmarkStart w:id="11" w:name="OLE_LINK6"/>
      <w:bookmarkStart w:id="12" w:name="OLE_LINK3"/>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黑龙江省交投高速公路运营管理有限公司哈尔滨南养护分公</w:t>
      </w:r>
      <w:r>
        <w:rPr>
          <w:rFonts w:hint="eastAsia" w:ascii="宋体" w:hAnsi="宋体" w:eastAsia="宋体" w:cs="宋体"/>
          <w:color w:val="auto"/>
          <w:sz w:val="24"/>
          <w:szCs w:val="24"/>
        </w:rPr>
        <w:t>（以下称“采购人”）的委托，</w:t>
      </w:r>
      <w:r>
        <w:rPr>
          <w:rFonts w:hint="eastAsia" w:ascii="宋体" w:hAnsi="宋体" w:eastAsia="宋体" w:cs="宋体"/>
          <w:color w:val="auto"/>
          <w:kern w:val="0"/>
          <w:sz w:val="24"/>
          <w:szCs w:val="24"/>
          <w:lang w:val="en-US" w:eastAsia="zh-CN" w:bidi="ar-SA"/>
        </w:rPr>
        <w:t>对黑龙江省交投高速公路运营管理有限公司哈尔滨南养护分公司融雪剂采购项目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FYZB-2021-0201</w:t>
      </w:r>
    </w:p>
    <w:p>
      <w:pPr>
        <w:pStyle w:val="17"/>
        <w:widowControl/>
        <w:spacing w:before="0" w:beforeAutospacing="0" w:after="0" w:afterAutospacing="0"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ascii="宋体" w:hAnsi="宋体" w:eastAsia="宋体" w:cs="宋体"/>
          <w:color w:val="auto"/>
          <w:kern w:val="0"/>
          <w:sz w:val="24"/>
          <w:szCs w:val="24"/>
          <w:lang w:val="en-US" w:eastAsia="zh-CN" w:bidi="ar-SA"/>
        </w:rPr>
        <w:t>黑龙江省交投高速公路运营管理有限公司哈尔滨南养护分公司融雪剂采购项目</w:t>
      </w:r>
    </w:p>
    <w:p>
      <w:pPr>
        <w:pStyle w:val="17"/>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eastAsia="宋体" w:cs="宋体"/>
          <w:color w:val="auto"/>
          <w:kern w:val="0"/>
          <w:sz w:val="24"/>
          <w:szCs w:val="24"/>
          <w:lang w:val="en-US" w:eastAsia="zh-CN" w:bidi="ar-SA"/>
        </w:rPr>
        <w:t>融雪剂采购</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7"/>
        <w:widowControl/>
        <w:spacing w:before="0" w:beforeAutospacing="0" w:after="0" w:afterAutospacing="0" w:line="360" w:lineRule="auto"/>
        <w:ind w:firstLine="480"/>
        <w:rPr>
          <w:rFonts w:hint="eastAsia"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ascii="宋体" w:hAnsi="宋体" w:cs="宋体"/>
          <w:color w:val="auto"/>
        </w:rPr>
        <w:t>货到指定地点20天</w:t>
      </w:r>
      <w:r>
        <w:rPr>
          <w:rFonts w:hint="eastAsia" w:cs="宋体"/>
          <w:color w:val="auto"/>
          <w:lang w:eastAsia="zh-CN"/>
        </w:rPr>
        <w:t>内付款。</w:t>
      </w:r>
    </w:p>
    <w:p>
      <w:pPr>
        <w:pStyle w:val="17"/>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1.5交货期限：采购</w:t>
      </w:r>
      <w:r>
        <w:rPr>
          <w:rFonts w:hint="eastAsia" w:cs="宋体"/>
          <w:color w:val="auto"/>
          <w:lang w:val="en-US" w:eastAsia="zh-CN"/>
        </w:rPr>
        <w:t>人需求期限提前十天通知供货。</w:t>
      </w:r>
    </w:p>
    <w:p>
      <w:pPr>
        <w:pStyle w:val="17"/>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w:t>
      </w:r>
    </w:p>
    <w:p>
      <w:pPr>
        <w:pStyle w:val="17"/>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1.7质保期：一年。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3.1采购预算金额为900000.00元</w:t>
      </w:r>
      <w:r>
        <w:rPr>
          <w:rFonts w:hint="eastAsia" w:ascii="宋体" w:hAnsi="宋体"/>
          <w:color w:val="auto"/>
          <w:sz w:val="24"/>
        </w:rPr>
        <w:t>（意向供应商报价为</w:t>
      </w:r>
      <w:r>
        <w:rPr>
          <w:rFonts w:hint="eastAsia" w:ascii="宋体" w:hAnsi="宋体"/>
          <w:color w:val="auto"/>
          <w:sz w:val="24"/>
          <w:lang w:val="en-US" w:eastAsia="zh-CN"/>
        </w:rPr>
        <w:t>含税、含运费的报价</w:t>
      </w:r>
      <w:r>
        <w:rPr>
          <w:rFonts w:hint="eastAsia" w:ascii="宋体" w:hAnsi="宋体"/>
          <w:color w:val="auto"/>
          <w:sz w:val="24"/>
        </w:rPr>
        <w:t>，开具增值税专用发票）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snapToGrid w:val="0"/>
        <w:ind w:right="-58" w:firstLine="480" w:firstLineChars="200"/>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widowControl/>
        <w:wordWrap w:val="0"/>
        <w:ind w:firstLine="480"/>
        <w:jc w:val="left"/>
        <w:rPr>
          <w:rFonts w:ascii="宋体" w:hAnsi="宋体"/>
          <w:color w:val="auto"/>
          <w:kern w:val="0"/>
          <w:sz w:val="24"/>
        </w:rPr>
      </w:pPr>
      <w:r>
        <w:rPr>
          <w:rFonts w:hint="eastAsia" w:ascii="宋体" w:hAnsi="宋体"/>
          <w:color w:val="auto"/>
          <w:kern w:val="0"/>
          <w:sz w:val="24"/>
        </w:rPr>
        <w:t>4.4意向供应商不得存在下列不良状况或不良信用记录</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4.4.1被责令停业，暂扣或吊销执照；</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widowControl/>
        <w:wordWrap w:val="0"/>
        <w:ind w:firstLine="787" w:firstLineChars="328"/>
        <w:jc w:val="left"/>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9"/>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6.2.1保证金金额：小写：20000.00元；大写：贰万元整。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2021年02月08日15时00分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6.3.1保函手续费：供应商如选择保函形式，需缴纳保函手续费400元整。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900000.00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tabs>
          <w:tab w:val="left" w:pos="8222"/>
        </w:tabs>
        <w:snapToGrid w:val="0"/>
        <w:ind w:right="-58"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tabs>
          <w:tab w:val="left" w:pos="8222"/>
        </w:tabs>
        <w:snapToGrid w:val="0"/>
        <w:ind w:right="-58" w:firstLine="960" w:firstLineChars="4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tabs>
          <w:tab w:val="left" w:pos="8222"/>
        </w:tabs>
        <w:snapToGrid w:val="0"/>
        <w:ind w:right="-58" w:firstLine="960" w:firstLineChars="400"/>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2021年02月07日15时00分</w:t>
      </w:r>
      <w:r>
        <w:rPr>
          <w:rFonts w:hint="eastAsia" w:ascii="宋体" w:hAnsi="宋体"/>
          <w:color w:val="auto"/>
          <w:sz w:val="24"/>
        </w:rPr>
        <w:t>。</w:t>
      </w:r>
    </w:p>
    <w:p>
      <w:pPr>
        <w:pStyle w:val="2"/>
        <w:ind w:firstLine="480" w:firstLineChars="2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ind w:firstLine="720" w:firstLineChars="300"/>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ind w:firstLine="720" w:firstLineChars="300"/>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02</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日15时00分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w:t>
      </w:r>
      <w:bookmarkStart w:id="26" w:name="_GoBack"/>
      <w:bookmarkEnd w:id="26"/>
      <w:r>
        <w:rPr>
          <w:rFonts w:hint="eastAsia" w:ascii="宋体" w:hAnsi="宋体"/>
          <w:color w:val="auto"/>
          <w:kern w:val="0"/>
          <w:sz w:val="24"/>
        </w:rPr>
        <w:t>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9"/>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Hlk530683232"/>
      <w:bookmarkStart w:id="25" w:name="_Toc418502404"/>
      <w:r>
        <w:rPr>
          <w:rFonts w:hint="eastAsia" w:ascii="宋体" w:hAnsi="宋体"/>
          <w:bCs/>
          <w:color w:val="auto"/>
          <w:sz w:val="24"/>
          <w:lang w:val="en-US" w:eastAsia="zh-CN"/>
        </w:rPr>
        <w:t>采 购 人：黑龙江省交投高速公路运营管理有限公司哈尔滨南养护分公司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地   址：哈尔滨市香坊区哈平路199号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人：熊女士</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15603646470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F0635C"/>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0019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0357AF"/>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C3A22BF"/>
    <w:rsid w:val="3C6E113B"/>
    <w:rsid w:val="3D2573CB"/>
    <w:rsid w:val="3E207821"/>
    <w:rsid w:val="3EC66969"/>
    <w:rsid w:val="3F7E5C72"/>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90430A"/>
    <w:rsid w:val="454D639A"/>
    <w:rsid w:val="458C13D6"/>
    <w:rsid w:val="45FC6832"/>
    <w:rsid w:val="46147080"/>
    <w:rsid w:val="46156373"/>
    <w:rsid w:val="46940254"/>
    <w:rsid w:val="46A726A9"/>
    <w:rsid w:val="47204D06"/>
    <w:rsid w:val="47A20B3B"/>
    <w:rsid w:val="47C54249"/>
    <w:rsid w:val="48990C74"/>
    <w:rsid w:val="48B27864"/>
    <w:rsid w:val="48F322D6"/>
    <w:rsid w:val="498B558E"/>
    <w:rsid w:val="4A276DC6"/>
    <w:rsid w:val="4A2B659A"/>
    <w:rsid w:val="4A2B7505"/>
    <w:rsid w:val="4A381BBD"/>
    <w:rsid w:val="4A4800C7"/>
    <w:rsid w:val="4A780718"/>
    <w:rsid w:val="4B492AFF"/>
    <w:rsid w:val="4B9F3474"/>
    <w:rsid w:val="4BE160C6"/>
    <w:rsid w:val="4C4D06F4"/>
    <w:rsid w:val="4C8D584C"/>
    <w:rsid w:val="4CE3472C"/>
    <w:rsid w:val="4D0056B3"/>
    <w:rsid w:val="4D2F206F"/>
    <w:rsid w:val="4D3F38ED"/>
    <w:rsid w:val="4E8A0C1E"/>
    <w:rsid w:val="4EA34834"/>
    <w:rsid w:val="4EB23ADD"/>
    <w:rsid w:val="4EB828B7"/>
    <w:rsid w:val="4EDB16B5"/>
    <w:rsid w:val="4F2D632C"/>
    <w:rsid w:val="4F754E1E"/>
    <w:rsid w:val="4F950966"/>
    <w:rsid w:val="4FC91F0F"/>
    <w:rsid w:val="50152ACD"/>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1346"/>
    <w:rsid w:val="66735E32"/>
    <w:rsid w:val="6707752A"/>
    <w:rsid w:val="6756103B"/>
    <w:rsid w:val="67C12A80"/>
    <w:rsid w:val="67D72CA3"/>
    <w:rsid w:val="67F70238"/>
    <w:rsid w:val="68B0117B"/>
    <w:rsid w:val="68DC07EE"/>
    <w:rsid w:val="68E870D7"/>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935598"/>
    <w:rsid w:val="73BC68FE"/>
    <w:rsid w:val="7471623A"/>
    <w:rsid w:val="752306DE"/>
    <w:rsid w:val="75363DD7"/>
    <w:rsid w:val="757F2F3A"/>
    <w:rsid w:val="7588504E"/>
    <w:rsid w:val="75AF1959"/>
    <w:rsid w:val="75E85046"/>
    <w:rsid w:val="76324BEB"/>
    <w:rsid w:val="76655639"/>
    <w:rsid w:val="77527419"/>
    <w:rsid w:val="77E8065B"/>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annotation text"/>
    <w:basedOn w:val="1"/>
    <w:qFormat/>
    <w:uiPriority w:val="0"/>
    <w:pPr>
      <w:jc w:val="left"/>
    </w:pPr>
  </w:style>
  <w:style w:type="paragraph" w:styleId="8">
    <w:name w:val="Body Text Indent"/>
    <w:basedOn w:val="1"/>
    <w:next w:val="9"/>
    <w:qFormat/>
    <w:uiPriority w:val="0"/>
    <w:pPr>
      <w:ind w:firstLine="420"/>
    </w:pPr>
  </w:style>
  <w:style w:type="paragraph" w:styleId="9">
    <w:name w:val="Body Text First Indent 2"/>
    <w:basedOn w:val="8"/>
    <w:next w:val="1"/>
    <w:qFormat/>
    <w:uiPriority w:val="99"/>
    <w:pPr>
      <w:ind w:firstLine="200" w:firstLineChars="200"/>
    </w:pPr>
    <w:rPr>
      <w:color w:val="000000"/>
    </w:rPr>
  </w:style>
  <w:style w:type="paragraph" w:styleId="10">
    <w:name w:val="Plain Text"/>
    <w:basedOn w:val="1"/>
    <w:qFormat/>
    <w:uiPriority w:val="0"/>
    <w:rPr>
      <w:rFonts w:ascii="宋体" w:hAnsi="Courier New"/>
      <w:color w:val="000000"/>
      <w:kern w:val="0"/>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ind w:firstLine="624"/>
    </w:pPr>
    <w:rPr>
      <w:rFonts w:ascii="仿宋_GB2312" w:eastAsia="仿宋_GB2312"/>
      <w:sz w:val="2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6">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0"/>
  </w:style>
  <w:style w:type="character" w:styleId="22">
    <w:name w:val="Hyperlink"/>
    <w:qFormat/>
    <w:uiPriority w:val="99"/>
    <w:rPr>
      <w:color w:val="0000FF"/>
      <w:u w:val="single"/>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12</TotalTime>
  <ScaleCrop>false</ScaleCrop>
  <LinksUpToDate>false</LinksUpToDate>
  <CharactersWithSpaces>12916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2021-02-04T00:23:05Z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