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EEBF7" w:themeColor="accent1" w:themeTint="33"/>
  <w:body>
    <w:p>
      <w:pPr>
        <w:spacing w:line="360" w:lineRule="auto"/>
        <w:jc w:val="center"/>
        <w:rPr>
          <w:rFonts w:ascii="宋体" w:hAnsi="宋体"/>
          <w:b/>
          <w:color w:val="000000"/>
          <w:spacing w:val="-6"/>
          <w:sz w:val="44"/>
          <w:szCs w:val="44"/>
          <w:highlight w:val="none"/>
        </w:rPr>
      </w:pPr>
      <w:bookmarkStart w:id="0" w:name="_Toc183682338"/>
      <w:bookmarkStart w:id="1" w:name="_Toc217446030"/>
    </w:p>
    <w:p>
      <w:pPr>
        <w:spacing w:line="276" w:lineRule="auto"/>
        <w:jc w:val="center"/>
        <w:rPr>
          <w:rFonts w:ascii="方正姚体" w:hAnsi="黑体" w:eastAsia="方正姚体" w:cs="宋体"/>
          <w:b/>
          <w:spacing w:val="-20"/>
          <w:sz w:val="32"/>
          <w:szCs w:val="32"/>
          <w:highlight w:val="none"/>
        </w:rPr>
      </w:pPr>
      <w:r>
        <w:rPr>
          <w:rFonts w:hint="eastAsia" w:ascii="方正姚体" w:hAnsi="宋体" w:eastAsia="方正姚体"/>
          <w:b/>
          <w:spacing w:val="-20"/>
          <w:sz w:val="32"/>
          <w:szCs w:val="32"/>
          <w:highlight w:val="none"/>
        </w:rPr>
        <w:t>G4216线屏山新市至金阳段、</w:t>
      </w:r>
      <w:r>
        <w:rPr>
          <w:rFonts w:ascii="方正姚体" w:hAnsi="宋体" w:eastAsia="方正姚体"/>
          <w:b/>
          <w:spacing w:val="-20"/>
          <w:sz w:val="32"/>
          <w:szCs w:val="32"/>
          <w:highlight w:val="none"/>
        </w:rPr>
        <w:t>金</w:t>
      </w:r>
      <w:r>
        <w:rPr>
          <w:rFonts w:hint="eastAsia" w:ascii="方正姚体" w:hAnsi="宋体" w:eastAsia="方正姚体"/>
          <w:b/>
          <w:spacing w:val="-20"/>
          <w:sz w:val="32"/>
          <w:szCs w:val="32"/>
          <w:highlight w:val="none"/>
        </w:rPr>
        <w:t>阳</w:t>
      </w:r>
      <w:r>
        <w:rPr>
          <w:rFonts w:ascii="方正姚体" w:hAnsi="宋体" w:eastAsia="方正姚体"/>
          <w:b/>
          <w:spacing w:val="-20"/>
          <w:sz w:val="32"/>
          <w:szCs w:val="32"/>
          <w:highlight w:val="none"/>
        </w:rPr>
        <w:t>至</w:t>
      </w:r>
      <w:r>
        <w:rPr>
          <w:rFonts w:hint="eastAsia" w:ascii="方正姚体" w:hAnsi="宋体" w:eastAsia="方正姚体"/>
          <w:b/>
          <w:spacing w:val="-20"/>
          <w:sz w:val="32"/>
          <w:szCs w:val="32"/>
          <w:highlight w:val="none"/>
        </w:rPr>
        <w:t>宁南</w:t>
      </w:r>
      <w:r>
        <w:rPr>
          <w:rFonts w:ascii="方正姚体" w:hAnsi="宋体" w:eastAsia="方正姚体"/>
          <w:b/>
          <w:spacing w:val="-20"/>
          <w:sz w:val="32"/>
          <w:szCs w:val="32"/>
          <w:highlight w:val="none"/>
        </w:rPr>
        <w:t>段</w:t>
      </w:r>
      <w:r>
        <w:rPr>
          <w:rFonts w:hint="eastAsia" w:ascii="方正姚体" w:hAnsi="宋体" w:eastAsia="方正姚体"/>
          <w:b/>
          <w:spacing w:val="-20"/>
          <w:sz w:val="32"/>
          <w:szCs w:val="32"/>
          <w:highlight w:val="none"/>
        </w:rPr>
        <w:t>高速公路项目</w:t>
      </w:r>
    </w:p>
    <w:p>
      <w:pPr>
        <w:jc w:val="center"/>
        <w:rPr>
          <w:rFonts w:ascii="黑体" w:hAnsi="黑体" w:eastAsia="黑体" w:cs="宋体"/>
          <w:b/>
          <w:sz w:val="36"/>
          <w:szCs w:val="36"/>
          <w:highlight w:val="none"/>
        </w:rPr>
      </w:pPr>
      <w:r>
        <w:rPr>
          <w:rFonts w:hint="eastAsia" w:ascii="黑体" w:hAnsi="黑体" w:eastAsia="黑体" w:cs="宋体"/>
          <w:b/>
          <w:sz w:val="36"/>
          <w:szCs w:val="36"/>
          <w:highlight w:val="none"/>
        </w:rPr>
        <w:t>2021～</w:t>
      </w:r>
      <w:r>
        <w:rPr>
          <w:rFonts w:ascii="黑体" w:hAnsi="黑体" w:eastAsia="黑体" w:cs="宋体"/>
          <w:b/>
          <w:sz w:val="36"/>
          <w:szCs w:val="36"/>
          <w:highlight w:val="none"/>
        </w:rPr>
        <w:t>2022</w:t>
      </w:r>
      <w:r>
        <w:rPr>
          <w:rFonts w:hint="eastAsia" w:ascii="黑体" w:hAnsi="黑体" w:eastAsia="黑体" w:cs="宋体"/>
          <w:b/>
          <w:sz w:val="36"/>
          <w:szCs w:val="36"/>
          <w:highlight w:val="none"/>
        </w:rPr>
        <w:t>年度钢材船舶运输服务（第三次）招标</w:t>
      </w:r>
    </w:p>
    <w:p>
      <w:pPr>
        <w:jc w:val="center"/>
        <w:rPr>
          <w:rFonts w:ascii="宋体" w:hAnsi="宋体"/>
          <w:b/>
          <w:color w:val="000000"/>
          <w:sz w:val="32"/>
          <w:szCs w:val="32"/>
          <w:highlight w:val="none"/>
        </w:rPr>
      </w:pPr>
    </w:p>
    <w:p>
      <w:pPr>
        <w:jc w:val="center"/>
        <w:rPr>
          <w:rFonts w:ascii="宋体" w:hAnsi="宋体"/>
          <w:b/>
          <w:color w:val="000000"/>
          <w:sz w:val="72"/>
          <w:highlight w:val="none"/>
        </w:rPr>
      </w:pPr>
    </w:p>
    <w:p>
      <w:pPr>
        <w:jc w:val="center"/>
        <w:rPr>
          <w:rFonts w:ascii="宋体" w:hAnsi="宋体"/>
          <w:b/>
          <w:color w:val="000000"/>
          <w:sz w:val="72"/>
          <w:highlight w:val="none"/>
        </w:rPr>
      </w:pPr>
    </w:p>
    <w:p>
      <w:pPr>
        <w:jc w:val="center"/>
        <w:rPr>
          <w:rFonts w:ascii="宋体" w:hAnsi="宋体"/>
          <w:b/>
          <w:color w:val="000000"/>
          <w:sz w:val="72"/>
          <w:highlight w:val="none"/>
        </w:rPr>
      </w:pPr>
    </w:p>
    <w:p>
      <w:pPr>
        <w:spacing w:line="228" w:lineRule="auto"/>
        <w:jc w:val="center"/>
        <w:rPr>
          <w:rFonts w:ascii="宋体" w:hAnsi="宋体"/>
          <w:b/>
          <w:color w:val="000000"/>
          <w:sz w:val="72"/>
          <w:highlight w:val="none"/>
        </w:rPr>
      </w:pPr>
      <w:r>
        <w:rPr>
          <w:rFonts w:hint="eastAsia" w:ascii="宋体" w:hAnsi="宋体"/>
          <w:b/>
          <w:color w:val="000000"/>
          <w:sz w:val="72"/>
          <w:highlight w:val="none"/>
        </w:rPr>
        <w:t>竞争性谈判文件</w:t>
      </w: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spacing w:line="360" w:lineRule="auto"/>
        <w:ind w:firstLine="624"/>
        <w:jc w:val="center"/>
        <w:rPr>
          <w:b/>
          <w:color w:val="000000"/>
          <w:sz w:val="32"/>
          <w:szCs w:val="32"/>
          <w:highlight w:val="none"/>
        </w:rPr>
      </w:pPr>
    </w:p>
    <w:p>
      <w:pPr>
        <w:widowControl/>
        <w:spacing w:line="360" w:lineRule="auto"/>
        <w:jc w:val="center"/>
        <w:rPr>
          <w:rFonts w:ascii="宋体" w:hAnsi="宋体" w:cs="宋体"/>
          <w:b/>
          <w:bCs/>
          <w:kern w:val="0"/>
          <w:sz w:val="30"/>
          <w:szCs w:val="30"/>
          <w:highlight w:val="none"/>
        </w:rPr>
      </w:pPr>
      <w:r>
        <w:rPr>
          <w:rFonts w:hint="eastAsia" w:ascii="宋体" w:hAnsi="宋体" w:cs="宋体"/>
          <w:b/>
          <w:bCs/>
          <w:kern w:val="0"/>
          <w:sz w:val="30"/>
          <w:szCs w:val="30"/>
          <w:highlight w:val="none"/>
        </w:rPr>
        <w:t>招标人：四川交投物流有限公司</w:t>
      </w:r>
    </w:p>
    <w:p>
      <w:pPr>
        <w:spacing w:line="360" w:lineRule="auto"/>
        <w:jc w:val="center"/>
        <w:rPr>
          <w:rFonts w:ascii="宋体" w:hAnsi="宋体" w:cs="宋体"/>
          <w:b/>
          <w:bCs/>
          <w:kern w:val="0"/>
          <w:sz w:val="30"/>
          <w:szCs w:val="30"/>
          <w:highlight w:val="none"/>
        </w:rPr>
      </w:pPr>
      <w:r>
        <w:rPr>
          <w:rFonts w:hint="eastAsia" w:ascii="宋体" w:hAnsi="宋体" w:cs="宋体"/>
          <w:b/>
          <w:bCs/>
          <w:kern w:val="0"/>
          <w:sz w:val="30"/>
          <w:szCs w:val="30"/>
          <w:highlight w:val="none"/>
        </w:rPr>
        <w:t xml:space="preserve"> 招标咨询机构： 四川省</w:t>
      </w:r>
      <w:r>
        <w:rPr>
          <w:rFonts w:ascii="宋体" w:hAnsi="宋体" w:cs="宋体"/>
          <w:b/>
          <w:bCs/>
          <w:kern w:val="0"/>
          <w:sz w:val="30"/>
          <w:szCs w:val="30"/>
          <w:highlight w:val="none"/>
        </w:rPr>
        <w:t>川交公路工程咨询</w:t>
      </w:r>
      <w:r>
        <w:rPr>
          <w:rFonts w:hint="eastAsia" w:ascii="宋体" w:hAnsi="宋体" w:cs="宋体"/>
          <w:b/>
          <w:bCs/>
          <w:kern w:val="0"/>
          <w:sz w:val="30"/>
          <w:szCs w:val="30"/>
          <w:highlight w:val="none"/>
        </w:rPr>
        <w:t>有限公司</w:t>
      </w:r>
    </w:p>
    <w:p>
      <w:pPr>
        <w:spacing w:line="360" w:lineRule="auto"/>
        <w:jc w:val="center"/>
        <w:rPr>
          <w:rFonts w:ascii="宋体" w:hAnsi="宋体"/>
          <w:b/>
          <w:color w:val="000000"/>
          <w:sz w:val="30"/>
          <w:szCs w:val="30"/>
          <w:highlight w:val="none"/>
        </w:rPr>
      </w:pPr>
      <w:r>
        <w:rPr>
          <w:rFonts w:hint="eastAsia" w:ascii="宋体" w:hAnsi="宋体"/>
          <w:b/>
          <w:color w:val="000000"/>
          <w:sz w:val="30"/>
          <w:szCs w:val="30"/>
          <w:highlight w:val="none"/>
        </w:rPr>
        <w:t>二〇二一年一月</w:t>
      </w:r>
    </w:p>
    <w:p>
      <w:pPr>
        <w:spacing w:line="520" w:lineRule="exact"/>
        <w:jc w:val="center"/>
        <w:rPr>
          <w:rFonts w:ascii="宋体" w:hAnsi="宋体"/>
          <w:b/>
          <w:color w:val="000000"/>
          <w:sz w:val="36"/>
          <w:highlight w:val="none"/>
          <w:lang w:val="zh-CN"/>
        </w:rPr>
      </w:pPr>
      <w:r>
        <w:rPr>
          <w:rFonts w:hint="eastAsia" w:ascii="宋体" w:hAnsi="宋体"/>
          <w:b/>
          <w:color w:val="000000"/>
          <w:sz w:val="36"/>
          <w:highlight w:val="none"/>
        </w:rPr>
        <w:t xml:space="preserve"> </w:t>
      </w:r>
      <w:r>
        <w:rPr>
          <w:rFonts w:hint="eastAsia" w:ascii="宋体" w:hAnsi="宋体"/>
          <w:b/>
          <w:color w:val="000000"/>
          <w:sz w:val="36"/>
          <w:highlight w:val="none"/>
          <w:lang w:val="zh-CN"/>
        </w:rPr>
        <w:t xml:space="preserve"> </w:t>
      </w:r>
    </w:p>
    <w:p>
      <w:pPr>
        <w:spacing w:line="520" w:lineRule="exact"/>
        <w:jc w:val="center"/>
        <w:rPr>
          <w:rFonts w:ascii="宋体" w:hAnsi="宋体"/>
          <w:b/>
          <w:color w:val="000000"/>
          <w:sz w:val="36"/>
          <w:highlight w:val="none"/>
        </w:rPr>
      </w:pPr>
      <w:r>
        <w:rPr>
          <w:rFonts w:ascii="宋体" w:hAnsi="宋体"/>
          <w:b/>
          <w:color w:val="000000"/>
          <w:sz w:val="36"/>
          <w:highlight w:val="none"/>
          <w:lang w:val="zh-CN"/>
        </w:rPr>
        <w:br w:type="page"/>
      </w:r>
      <w:bookmarkStart w:id="2" w:name="_Toc317509380"/>
      <w:bookmarkStart w:id="3" w:name="_Toc1983"/>
      <w:bookmarkStart w:id="4" w:name="_Toc317508987"/>
      <w:r>
        <w:rPr>
          <w:rFonts w:hint="eastAsia" w:ascii="宋体" w:hAnsi="宋体"/>
          <w:b/>
          <w:color w:val="000000"/>
          <w:sz w:val="36"/>
          <w:highlight w:val="none"/>
        </w:rPr>
        <w:t>目    录</w:t>
      </w:r>
      <w:bookmarkEnd w:id="2"/>
      <w:bookmarkEnd w:id="3"/>
      <w:bookmarkEnd w:id="4"/>
    </w:p>
    <w:p>
      <w:pPr>
        <w:spacing w:line="520" w:lineRule="exact"/>
        <w:jc w:val="center"/>
        <w:rPr>
          <w:rFonts w:ascii="宋体" w:hAnsi="宋体"/>
          <w:b/>
          <w:color w:val="000000"/>
          <w:sz w:val="36"/>
          <w:highlight w:val="none"/>
        </w:rPr>
      </w:pPr>
    </w:p>
    <w:p>
      <w:pPr>
        <w:spacing w:line="520" w:lineRule="exact"/>
        <w:jc w:val="center"/>
        <w:rPr>
          <w:rFonts w:ascii="宋体" w:hAnsi="宋体"/>
          <w:b/>
          <w:color w:val="000000"/>
          <w:sz w:val="36"/>
          <w:highlight w:val="none"/>
        </w:rPr>
      </w:pPr>
    </w:p>
    <w:p>
      <w:pPr>
        <w:pStyle w:val="31"/>
        <w:tabs>
          <w:tab w:val="right" w:leader="dot" w:pos="9458"/>
        </w:tabs>
        <w:spacing w:line="480" w:lineRule="auto"/>
        <w:rPr>
          <w:rFonts w:asciiTheme="minorHAnsi" w:hAnsiTheme="minorHAnsi" w:eastAsiaTheme="minorEastAsia" w:cstheme="minorBidi"/>
          <w:b/>
          <w:sz w:val="28"/>
          <w:szCs w:val="28"/>
          <w:highlight w:val="none"/>
        </w:rPr>
      </w:pPr>
      <w:r>
        <w:rPr>
          <w:rFonts w:hint="eastAsia"/>
          <w:b/>
          <w:color w:val="000000"/>
          <w:sz w:val="30"/>
          <w:szCs w:val="30"/>
          <w:highlight w:val="none"/>
        </w:rPr>
        <w:fldChar w:fldCharType="begin"/>
      </w:r>
      <w:r>
        <w:rPr>
          <w:rStyle w:val="40"/>
          <w:rFonts w:hint="eastAsia"/>
          <w:b/>
          <w:color w:val="000000"/>
          <w:sz w:val="30"/>
          <w:szCs w:val="30"/>
          <w:highlight w:val="none"/>
        </w:rPr>
        <w:instrText xml:space="preserve">TOC \o "1-3" \h  \u </w:instrText>
      </w:r>
      <w:r>
        <w:rPr>
          <w:rFonts w:hint="eastAsia"/>
          <w:b/>
          <w:color w:val="000000"/>
          <w:sz w:val="30"/>
          <w:szCs w:val="30"/>
          <w:highlight w:val="none"/>
        </w:rPr>
        <w:fldChar w:fldCharType="separate"/>
      </w:r>
      <w:r>
        <w:rPr>
          <w:highlight w:val="none"/>
        </w:rPr>
        <w:fldChar w:fldCharType="begin"/>
      </w:r>
      <w:r>
        <w:rPr>
          <w:highlight w:val="none"/>
        </w:rPr>
        <w:instrText xml:space="preserve"> HYPERLINK \l "_Toc50654804" </w:instrText>
      </w:r>
      <w:r>
        <w:rPr>
          <w:highlight w:val="none"/>
        </w:rPr>
        <w:fldChar w:fldCharType="separate"/>
      </w:r>
      <w:r>
        <w:rPr>
          <w:rStyle w:val="40"/>
          <w:rFonts w:hint="eastAsia" w:ascii="宋体" w:hAnsi="宋体"/>
          <w:b/>
          <w:sz w:val="28"/>
          <w:szCs w:val="28"/>
          <w:highlight w:val="none"/>
        </w:rPr>
        <w:t>第一章</w:t>
      </w:r>
      <w:r>
        <w:rPr>
          <w:rStyle w:val="40"/>
          <w:rFonts w:ascii="宋体" w:hAnsi="宋体"/>
          <w:b/>
          <w:sz w:val="28"/>
          <w:szCs w:val="28"/>
          <w:highlight w:val="none"/>
        </w:rPr>
        <w:t xml:space="preserve">  </w:t>
      </w:r>
      <w:r>
        <w:rPr>
          <w:rStyle w:val="40"/>
          <w:rFonts w:hint="eastAsia" w:ascii="宋体" w:hAnsi="宋体"/>
          <w:b/>
          <w:sz w:val="28"/>
          <w:szCs w:val="28"/>
          <w:highlight w:val="none"/>
        </w:rPr>
        <w:t>谈判公告</w:t>
      </w:r>
      <w:r>
        <w:rPr>
          <w:b/>
          <w:sz w:val="28"/>
          <w:szCs w:val="28"/>
          <w:highlight w:val="none"/>
        </w:rPr>
        <w:tab/>
      </w:r>
      <w:r>
        <w:rPr>
          <w:b/>
          <w:sz w:val="28"/>
          <w:szCs w:val="28"/>
          <w:highlight w:val="none"/>
        </w:rPr>
        <w:fldChar w:fldCharType="begin"/>
      </w:r>
      <w:r>
        <w:rPr>
          <w:b/>
          <w:sz w:val="28"/>
          <w:szCs w:val="28"/>
          <w:highlight w:val="none"/>
        </w:rPr>
        <w:instrText xml:space="preserve"> PAGEREF _Toc50654804 \h </w:instrText>
      </w:r>
      <w:r>
        <w:rPr>
          <w:b/>
          <w:sz w:val="28"/>
          <w:szCs w:val="28"/>
          <w:highlight w:val="none"/>
        </w:rPr>
        <w:fldChar w:fldCharType="separate"/>
      </w:r>
      <w:r>
        <w:rPr>
          <w:b/>
          <w:sz w:val="28"/>
          <w:szCs w:val="28"/>
          <w:highlight w:val="none"/>
        </w:rPr>
        <w:t>1</w:t>
      </w:r>
      <w:r>
        <w:rPr>
          <w:b/>
          <w:sz w:val="28"/>
          <w:szCs w:val="28"/>
          <w:highlight w:val="none"/>
        </w:rPr>
        <w:fldChar w:fldCharType="end"/>
      </w:r>
      <w:r>
        <w:rPr>
          <w:b/>
          <w:sz w:val="28"/>
          <w:szCs w:val="28"/>
          <w:highlight w:val="none"/>
        </w:rPr>
        <w:fldChar w:fldCharType="end"/>
      </w:r>
    </w:p>
    <w:p>
      <w:pPr>
        <w:pStyle w:val="31"/>
        <w:tabs>
          <w:tab w:val="right" w:leader="dot" w:pos="9458"/>
        </w:tabs>
        <w:spacing w:line="480" w:lineRule="auto"/>
        <w:rPr>
          <w:rFonts w:asciiTheme="minorHAnsi" w:hAnsiTheme="minorHAnsi" w:eastAsiaTheme="minorEastAsia" w:cstheme="minorBidi"/>
          <w:b/>
          <w:sz w:val="28"/>
          <w:szCs w:val="28"/>
          <w:highlight w:val="none"/>
        </w:rPr>
      </w:pPr>
      <w:r>
        <w:rPr>
          <w:highlight w:val="none"/>
        </w:rPr>
        <w:fldChar w:fldCharType="begin"/>
      </w:r>
      <w:r>
        <w:rPr>
          <w:highlight w:val="none"/>
        </w:rPr>
        <w:instrText xml:space="preserve"> HYPERLINK \l "_Toc50654805" </w:instrText>
      </w:r>
      <w:r>
        <w:rPr>
          <w:highlight w:val="none"/>
        </w:rPr>
        <w:fldChar w:fldCharType="separate"/>
      </w:r>
      <w:r>
        <w:rPr>
          <w:rStyle w:val="40"/>
          <w:rFonts w:hint="eastAsia" w:ascii="宋体" w:hAnsi="宋体"/>
          <w:b/>
          <w:sz w:val="28"/>
          <w:szCs w:val="28"/>
          <w:highlight w:val="none"/>
        </w:rPr>
        <w:t>第二章</w:t>
      </w:r>
      <w:r>
        <w:rPr>
          <w:rStyle w:val="40"/>
          <w:rFonts w:ascii="宋体" w:hAnsi="宋体"/>
          <w:b/>
          <w:sz w:val="28"/>
          <w:szCs w:val="28"/>
          <w:highlight w:val="none"/>
        </w:rPr>
        <w:t xml:space="preserve">  </w:t>
      </w:r>
      <w:r>
        <w:rPr>
          <w:rStyle w:val="40"/>
          <w:rFonts w:hint="eastAsia" w:ascii="宋体" w:hAnsi="宋体"/>
          <w:b/>
          <w:sz w:val="28"/>
          <w:szCs w:val="28"/>
          <w:highlight w:val="none"/>
        </w:rPr>
        <w:t>谈判须知</w:t>
      </w:r>
      <w:r>
        <w:rPr>
          <w:b/>
          <w:sz w:val="28"/>
          <w:szCs w:val="28"/>
          <w:highlight w:val="none"/>
        </w:rPr>
        <w:tab/>
      </w:r>
      <w:r>
        <w:rPr>
          <w:b/>
          <w:sz w:val="28"/>
          <w:szCs w:val="28"/>
          <w:highlight w:val="none"/>
        </w:rPr>
        <w:fldChar w:fldCharType="begin"/>
      </w:r>
      <w:r>
        <w:rPr>
          <w:b/>
          <w:sz w:val="28"/>
          <w:szCs w:val="28"/>
          <w:highlight w:val="none"/>
        </w:rPr>
        <w:instrText xml:space="preserve"> PAGEREF _Toc50654805 \h </w:instrText>
      </w:r>
      <w:r>
        <w:rPr>
          <w:b/>
          <w:sz w:val="28"/>
          <w:szCs w:val="28"/>
          <w:highlight w:val="none"/>
        </w:rPr>
        <w:fldChar w:fldCharType="separate"/>
      </w:r>
      <w:r>
        <w:rPr>
          <w:b/>
          <w:sz w:val="28"/>
          <w:szCs w:val="28"/>
          <w:highlight w:val="none"/>
        </w:rPr>
        <w:t>5</w:t>
      </w:r>
      <w:r>
        <w:rPr>
          <w:b/>
          <w:sz w:val="28"/>
          <w:szCs w:val="28"/>
          <w:highlight w:val="none"/>
        </w:rPr>
        <w:fldChar w:fldCharType="end"/>
      </w:r>
      <w:r>
        <w:rPr>
          <w:b/>
          <w:sz w:val="28"/>
          <w:szCs w:val="28"/>
          <w:highlight w:val="none"/>
        </w:rPr>
        <w:fldChar w:fldCharType="end"/>
      </w:r>
    </w:p>
    <w:p>
      <w:pPr>
        <w:pStyle w:val="31"/>
        <w:tabs>
          <w:tab w:val="right" w:leader="dot" w:pos="9458"/>
        </w:tabs>
        <w:spacing w:line="480" w:lineRule="auto"/>
        <w:rPr>
          <w:rFonts w:asciiTheme="minorHAnsi" w:hAnsiTheme="minorHAnsi" w:eastAsiaTheme="minorEastAsia" w:cstheme="minorBidi"/>
          <w:b/>
          <w:sz w:val="28"/>
          <w:szCs w:val="28"/>
          <w:highlight w:val="none"/>
        </w:rPr>
      </w:pPr>
      <w:r>
        <w:rPr>
          <w:highlight w:val="none"/>
        </w:rPr>
        <w:fldChar w:fldCharType="begin"/>
      </w:r>
      <w:r>
        <w:rPr>
          <w:highlight w:val="none"/>
        </w:rPr>
        <w:instrText xml:space="preserve"> HYPERLINK \l "_Toc50654841" </w:instrText>
      </w:r>
      <w:r>
        <w:rPr>
          <w:highlight w:val="none"/>
        </w:rPr>
        <w:fldChar w:fldCharType="separate"/>
      </w:r>
      <w:r>
        <w:rPr>
          <w:rStyle w:val="40"/>
          <w:rFonts w:hint="eastAsia" w:ascii="宋体" w:hAnsi="宋体"/>
          <w:b/>
          <w:sz w:val="28"/>
          <w:szCs w:val="28"/>
          <w:highlight w:val="none"/>
        </w:rPr>
        <w:t>第三章</w:t>
      </w:r>
      <w:r>
        <w:rPr>
          <w:rStyle w:val="40"/>
          <w:rFonts w:ascii="宋体" w:hAnsi="宋体"/>
          <w:b/>
          <w:sz w:val="28"/>
          <w:szCs w:val="28"/>
          <w:highlight w:val="none"/>
        </w:rPr>
        <w:t xml:space="preserve">  </w:t>
      </w:r>
      <w:r>
        <w:rPr>
          <w:rStyle w:val="40"/>
          <w:rFonts w:hint="eastAsia"/>
          <w:b/>
          <w:sz w:val="28"/>
          <w:szCs w:val="28"/>
          <w:highlight w:val="none"/>
        </w:rPr>
        <w:t>船舶运输服务</w:t>
      </w:r>
      <w:r>
        <w:rPr>
          <w:rStyle w:val="40"/>
          <w:rFonts w:hint="eastAsia" w:ascii="宋体" w:hAnsi="宋体"/>
          <w:b/>
          <w:sz w:val="28"/>
          <w:szCs w:val="28"/>
          <w:highlight w:val="none"/>
        </w:rPr>
        <w:t>要求</w:t>
      </w:r>
      <w:r>
        <w:rPr>
          <w:b/>
          <w:sz w:val="28"/>
          <w:szCs w:val="28"/>
          <w:highlight w:val="none"/>
        </w:rPr>
        <w:tab/>
      </w:r>
      <w:r>
        <w:rPr>
          <w:b/>
          <w:sz w:val="28"/>
          <w:szCs w:val="28"/>
          <w:highlight w:val="none"/>
        </w:rPr>
        <w:fldChar w:fldCharType="begin"/>
      </w:r>
      <w:r>
        <w:rPr>
          <w:b/>
          <w:sz w:val="28"/>
          <w:szCs w:val="28"/>
          <w:highlight w:val="none"/>
        </w:rPr>
        <w:instrText xml:space="preserve"> PAGEREF _Toc50654841 \h </w:instrText>
      </w:r>
      <w:r>
        <w:rPr>
          <w:b/>
          <w:sz w:val="28"/>
          <w:szCs w:val="28"/>
          <w:highlight w:val="none"/>
        </w:rPr>
        <w:fldChar w:fldCharType="separate"/>
      </w:r>
      <w:r>
        <w:rPr>
          <w:b/>
          <w:sz w:val="28"/>
          <w:szCs w:val="28"/>
          <w:highlight w:val="none"/>
        </w:rPr>
        <w:t>18</w:t>
      </w:r>
      <w:r>
        <w:rPr>
          <w:b/>
          <w:sz w:val="28"/>
          <w:szCs w:val="28"/>
          <w:highlight w:val="none"/>
        </w:rPr>
        <w:fldChar w:fldCharType="end"/>
      </w:r>
      <w:r>
        <w:rPr>
          <w:b/>
          <w:sz w:val="28"/>
          <w:szCs w:val="28"/>
          <w:highlight w:val="none"/>
        </w:rPr>
        <w:fldChar w:fldCharType="end"/>
      </w:r>
    </w:p>
    <w:p>
      <w:pPr>
        <w:pStyle w:val="31"/>
        <w:tabs>
          <w:tab w:val="right" w:leader="dot" w:pos="9458"/>
        </w:tabs>
        <w:spacing w:line="480" w:lineRule="auto"/>
        <w:rPr>
          <w:rFonts w:asciiTheme="minorHAnsi" w:hAnsiTheme="minorHAnsi" w:eastAsiaTheme="minorEastAsia" w:cstheme="minorBidi"/>
          <w:b/>
          <w:sz w:val="28"/>
          <w:szCs w:val="28"/>
          <w:highlight w:val="none"/>
        </w:rPr>
      </w:pPr>
      <w:r>
        <w:rPr>
          <w:highlight w:val="none"/>
        </w:rPr>
        <w:fldChar w:fldCharType="begin"/>
      </w:r>
      <w:r>
        <w:rPr>
          <w:highlight w:val="none"/>
        </w:rPr>
        <w:instrText xml:space="preserve"> HYPERLINK \l "_Toc50654842" </w:instrText>
      </w:r>
      <w:r>
        <w:rPr>
          <w:highlight w:val="none"/>
        </w:rPr>
        <w:fldChar w:fldCharType="separate"/>
      </w:r>
      <w:r>
        <w:rPr>
          <w:rStyle w:val="40"/>
          <w:rFonts w:hint="eastAsia" w:ascii="宋体" w:hAnsi="宋体"/>
          <w:b/>
          <w:sz w:val="28"/>
          <w:szCs w:val="28"/>
          <w:highlight w:val="none"/>
        </w:rPr>
        <w:t>第四章</w:t>
      </w:r>
      <w:r>
        <w:rPr>
          <w:rStyle w:val="40"/>
          <w:rFonts w:ascii="宋体" w:hAnsi="宋体"/>
          <w:b/>
          <w:sz w:val="28"/>
          <w:szCs w:val="28"/>
          <w:highlight w:val="none"/>
        </w:rPr>
        <w:t xml:space="preserve">  </w:t>
      </w:r>
      <w:r>
        <w:rPr>
          <w:rStyle w:val="40"/>
          <w:rFonts w:hint="eastAsia" w:ascii="宋体" w:hAnsi="宋体"/>
          <w:b/>
          <w:sz w:val="28"/>
          <w:szCs w:val="28"/>
          <w:highlight w:val="none"/>
        </w:rPr>
        <w:t>响应文件格式</w:t>
      </w:r>
      <w:r>
        <w:rPr>
          <w:b/>
          <w:sz w:val="28"/>
          <w:szCs w:val="28"/>
          <w:highlight w:val="none"/>
        </w:rPr>
        <w:tab/>
      </w:r>
      <w:r>
        <w:rPr>
          <w:b/>
          <w:sz w:val="28"/>
          <w:szCs w:val="28"/>
          <w:highlight w:val="none"/>
        </w:rPr>
        <w:fldChar w:fldCharType="begin"/>
      </w:r>
      <w:r>
        <w:rPr>
          <w:b/>
          <w:sz w:val="28"/>
          <w:szCs w:val="28"/>
          <w:highlight w:val="none"/>
        </w:rPr>
        <w:instrText xml:space="preserve"> PAGEREF _Toc50654842 \h </w:instrText>
      </w:r>
      <w:r>
        <w:rPr>
          <w:b/>
          <w:sz w:val="28"/>
          <w:szCs w:val="28"/>
          <w:highlight w:val="none"/>
        </w:rPr>
        <w:fldChar w:fldCharType="separate"/>
      </w:r>
      <w:r>
        <w:rPr>
          <w:b/>
          <w:sz w:val="28"/>
          <w:szCs w:val="28"/>
          <w:highlight w:val="none"/>
        </w:rPr>
        <w:t>20</w:t>
      </w:r>
      <w:r>
        <w:rPr>
          <w:b/>
          <w:sz w:val="28"/>
          <w:szCs w:val="28"/>
          <w:highlight w:val="none"/>
        </w:rPr>
        <w:fldChar w:fldCharType="end"/>
      </w:r>
      <w:r>
        <w:rPr>
          <w:b/>
          <w:sz w:val="28"/>
          <w:szCs w:val="28"/>
          <w:highlight w:val="none"/>
        </w:rPr>
        <w:fldChar w:fldCharType="end"/>
      </w:r>
    </w:p>
    <w:p>
      <w:pPr>
        <w:pStyle w:val="31"/>
        <w:tabs>
          <w:tab w:val="right" w:leader="dot" w:pos="9458"/>
        </w:tabs>
        <w:spacing w:line="480" w:lineRule="auto"/>
        <w:rPr>
          <w:rFonts w:asciiTheme="minorHAnsi" w:hAnsiTheme="minorHAnsi" w:eastAsiaTheme="minorEastAsia" w:cstheme="minorBidi"/>
          <w:b/>
          <w:sz w:val="28"/>
          <w:szCs w:val="28"/>
          <w:highlight w:val="none"/>
        </w:rPr>
      </w:pPr>
      <w:r>
        <w:rPr>
          <w:highlight w:val="none"/>
        </w:rPr>
        <w:fldChar w:fldCharType="begin"/>
      </w:r>
      <w:r>
        <w:rPr>
          <w:highlight w:val="none"/>
        </w:rPr>
        <w:instrText xml:space="preserve"> HYPERLINK \l "_Toc50654848" </w:instrText>
      </w:r>
      <w:r>
        <w:rPr>
          <w:highlight w:val="none"/>
        </w:rPr>
        <w:fldChar w:fldCharType="separate"/>
      </w:r>
      <w:r>
        <w:rPr>
          <w:rStyle w:val="40"/>
          <w:rFonts w:hint="eastAsia" w:ascii="宋体" w:hAnsi="宋体"/>
          <w:b/>
          <w:sz w:val="28"/>
          <w:szCs w:val="28"/>
          <w:highlight w:val="none"/>
        </w:rPr>
        <w:t>第五章</w:t>
      </w:r>
      <w:r>
        <w:rPr>
          <w:rStyle w:val="40"/>
          <w:rFonts w:ascii="宋体" w:hAnsi="宋体"/>
          <w:b/>
          <w:sz w:val="28"/>
          <w:szCs w:val="28"/>
          <w:highlight w:val="none"/>
        </w:rPr>
        <w:t xml:space="preserve">  </w:t>
      </w:r>
      <w:r>
        <w:rPr>
          <w:rStyle w:val="40"/>
          <w:rFonts w:hint="eastAsia" w:ascii="宋体" w:hAnsi="宋体"/>
          <w:b/>
          <w:sz w:val="28"/>
          <w:szCs w:val="28"/>
          <w:highlight w:val="none"/>
        </w:rPr>
        <w:t>合同条款</w:t>
      </w:r>
      <w:r>
        <w:rPr>
          <w:b/>
          <w:sz w:val="28"/>
          <w:szCs w:val="28"/>
          <w:highlight w:val="none"/>
        </w:rPr>
        <w:tab/>
      </w:r>
      <w:r>
        <w:rPr>
          <w:b/>
          <w:sz w:val="28"/>
          <w:szCs w:val="28"/>
          <w:highlight w:val="none"/>
        </w:rPr>
        <w:fldChar w:fldCharType="begin"/>
      </w:r>
      <w:r>
        <w:rPr>
          <w:b/>
          <w:sz w:val="28"/>
          <w:szCs w:val="28"/>
          <w:highlight w:val="none"/>
        </w:rPr>
        <w:instrText xml:space="preserve"> PAGEREF _Toc50654848 \h </w:instrText>
      </w:r>
      <w:r>
        <w:rPr>
          <w:b/>
          <w:sz w:val="28"/>
          <w:szCs w:val="28"/>
          <w:highlight w:val="none"/>
        </w:rPr>
        <w:fldChar w:fldCharType="separate"/>
      </w:r>
      <w:r>
        <w:rPr>
          <w:b/>
          <w:sz w:val="28"/>
          <w:szCs w:val="28"/>
          <w:highlight w:val="none"/>
        </w:rPr>
        <w:t>34</w:t>
      </w:r>
      <w:r>
        <w:rPr>
          <w:b/>
          <w:sz w:val="28"/>
          <w:szCs w:val="28"/>
          <w:highlight w:val="none"/>
        </w:rPr>
        <w:fldChar w:fldCharType="end"/>
      </w:r>
      <w:r>
        <w:rPr>
          <w:b/>
          <w:sz w:val="28"/>
          <w:szCs w:val="28"/>
          <w:highlight w:val="none"/>
        </w:rPr>
        <w:fldChar w:fldCharType="end"/>
      </w:r>
    </w:p>
    <w:p>
      <w:pPr>
        <w:pStyle w:val="31"/>
        <w:tabs>
          <w:tab w:val="right" w:leader="dot" w:pos="9458"/>
        </w:tabs>
        <w:spacing w:line="480" w:lineRule="auto"/>
        <w:rPr>
          <w:rFonts w:asciiTheme="minorHAnsi" w:hAnsiTheme="minorHAnsi" w:eastAsiaTheme="minorEastAsia" w:cstheme="minorBidi"/>
          <w:b/>
          <w:szCs w:val="22"/>
          <w:highlight w:val="none"/>
        </w:rPr>
      </w:pPr>
      <w:r>
        <w:rPr>
          <w:highlight w:val="none"/>
        </w:rPr>
        <w:fldChar w:fldCharType="begin"/>
      </w:r>
      <w:r>
        <w:rPr>
          <w:highlight w:val="none"/>
        </w:rPr>
        <w:instrText xml:space="preserve"> HYPERLINK \l "_Toc50654856" </w:instrText>
      </w:r>
      <w:r>
        <w:rPr>
          <w:highlight w:val="none"/>
        </w:rPr>
        <w:fldChar w:fldCharType="separate"/>
      </w:r>
      <w:r>
        <w:rPr>
          <w:rStyle w:val="40"/>
          <w:rFonts w:hint="eastAsia" w:ascii="宋体" w:hAnsi="宋体"/>
          <w:b/>
          <w:sz w:val="28"/>
          <w:szCs w:val="28"/>
          <w:highlight w:val="none"/>
        </w:rPr>
        <w:t>第六章</w:t>
      </w:r>
      <w:r>
        <w:rPr>
          <w:rStyle w:val="40"/>
          <w:rFonts w:ascii="宋体" w:hAnsi="宋体"/>
          <w:b/>
          <w:sz w:val="28"/>
          <w:szCs w:val="28"/>
          <w:highlight w:val="none"/>
        </w:rPr>
        <w:t xml:space="preserve">  </w:t>
      </w:r>
      <w:r>
        <w:rPr>
          <w:rStyle w:val="40"/>
          <w:rFonts w:hint="eastAsia" w:ascii="宋体" w:hAnsi="宋体"/>
          <w:b/>
          <w:sz w:val="28"/>
          <w:szCs w:val="28"/>
          <w:highlight w:val="none"/>
        </w:rPr>
        <w:t>评审方法</w:t>
      </w:r>
      <w:r>
        <w:rPr>
          <w:b/>
          <w:sz w:val="28"/>
          <w:szCs w:val="28"/>
          <w:highlight w:val="none"/>
        </w:rPr>
        <w:tab/>
      </w:r>
      <w:r>
        <w:rPr>
          <w:b/>
          <w:sz w:val="28"/>
          <w:szCs w:val="28"/>
          <w:highlight w:val="none"/>
        </w:rPr>
        <w:t>50</w:t>
      </w:r>
      <w:r>
        <w:rPr>
          <w:b/>
          <w:sz w:val="28"/>
          <w:szCs w:val="28"/>
          <w:highlight w:val="none"/>
        </w:rPr>
        <w:fldChar w:fldCharType="end"/>
      </w:r>
    </w:p>
    <w:p>
      <w:pPr>
        <w:pStyle w:val="20"/>
        <w:tabs>
          <w:tab w:val="right" w:leader="dot" w:pos="9458"/>
        </w:tabs>
        <w:rPr>
          <w:rFonts w:asciiTheme="minorHAnsi" w:hAnsiTheme="minorHAnsi" w:eastAsiaTheme="minorEastAsia" w:cstheme="minorBidi"/>
          <w:szCs w:val="22"/>
          <w:highlight w:val="none"/>
        </w:rPr>
      </w:pPr>
    </w:p>
    <w:p>
      <w:pPr>
        <w:pStyle w:val="31"/>
        <w:tabs>
          <w:tab w:val="right" w:leader="dot" w:pos="9360"/>
        </w:tabs>
        <w:spacing w:line="1000" w:lineRule="exact"/>
        <w:ind w:left="0" w:leftChars="0" w:right="107" w:rightChars="51"/>
        <w:rPr>
          <w:rFonts w:ascii="宋体" w:hAnsi="宋体"/>
          <w:b/>
          <w:color w:val="000000"/>
          <w:szCs w:val="24"/>
          <w:highlight w:val="none"/>
        </w:rPr>
      </w:pPr>
      <w:bookmarkStart w:id="5" w:name="_Hlt43363645"/>
      <w:bookmarkEnd w:id="5"/>
      <w:bookmarkStart w:id="6" w:name="_Hlt43363644"/>
      <w:bookmarkEnd w:id="6"/>
      <w:r>
        <w:rPr>
          <w:rFonts w:hint="eastAsia"/>
          <w:b/>
          <w:color w:val="000000"/>
          <w:sz w:val="30"/>
          <w:szCs w:val="30"/>
          <w:highlight w:val="none"/>
        </w:rPr>
        <w:fldChar w:fldCharType="end"/>
      </w:r>
      <w:bookmarkStart w:id="7" w:name="_Toc23698"/>
    </w:p>
    <w:p>
      <w:pPr>
        <w:pStyle w:val="4"/>
        <w:widowControl/>
        <w:spacing w:line="1000" w:lineRule="exact"/>
        <w:ind w:right="-840" w:rightChars="-400" w:firstLine="0"/>
        <w:rPr>
          <w:rFonts w:ascii="宋体" w:hAnsi="宋体"/>
          <w:color w:val="000000"/>
          <w:sz w:val="36"/>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304" w:header="629" w:footer="556" w:gutter="0"/>
          <w:pgNumType w:start="1"/>
          <w:cols w:space="720" w:num="1"/>
          <w:docGrid w:linePitch="312" w:charSpace="0"/>
        </w:sectPr>
      </w:pPr>
    </w:p>
    <w:p>
      <w:pPr>
        <w:pStyle w:val="3"/>
        <w:spacing w:line="360" w:lineRule="exact"/>
        <w:jc w:val="center"/>
        <w:rPr>
          <w:rFonts w:ascii="宋体" w:hAnsi="宋体" w:eastAsia="宋体"/>
          <w:color w:val="000000"/>
          <w:sz w:val="36"/>
          <w:highlight w:val="none"/>
        </w:rPr>
      </w:pPr>
      <w:bookmarkStart w:id="8" w:name="_Toc50654804"/>
      <w:r>
        <w:rPr>
          <w:rFonts w:hint="eastAsia" w:ascii="宋体" w:hAnsi="宋体" w:eastAsia="宋体"/>
          <w:color w:val="000000"/>
          <w:sz w:val="36"/>
          <w:highlight w:val="none"/>
        </w:rPr>
        <w:t xml:space="preserve">第一章  </w:t>
      </w:r>
      <w:bookmarkEnd w:id="0"/>
      <w:bookmarkEnd w:id="1"/>
      <w:bookmarkEnd w:id="7"/>
      <w:r>
        <w:rPr>
          <w:rFonts w:hint="eastAsia" w:ascii="宋体" w:hAnsi="宋体" w:eastAsia="宋体"/>
          <w:color w:val="000000"/>
          <w:sz w:val="36"/>
          <w:highlight w:val="none"/>
        </w:rPr>
        <w:t>谈判公告</w:t>
      </w:r>
      <w:bookmarkEnd w:id="8"/>
    </w:p>
    <w:p>
      <w:pPr>
        <w:spacing w:line="276" w:lineRule="auto"/>
        <w:jc w:val="center"/>
        <w:rPr>
          <w:rFonts w:cs="宋体"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G4216线屏山新市至金阳段、</w:t>
      </w:r>
      <w:r>
        <w:rPr>
          <w:rFonts w:asciiTheme="minorEastAsia" w:hAnsiTheme="minorEastAsia" w:eastAsiaTheme="minorEastAsia"/>
          <w:b/>
          <w:sz w:val="24"/>
          <w:szCs w:val="24"/>
          <w:highlight w:val="none"/>
        </w:rPr>
        <w:t>金</w:t>
      </w:r>
      <w:r>
        <w:rPr>
          <w:rFonts w:hint="eastAsia" w:asciiTheme="minorEastAsia" w:hAnsiTheme="minorEastAsia" w:eastAsiaTheme="minorEastAsia"/>
          <w:b/>
          <w:sz w:val="24"/>
          <w:szCs w:val="24"/>
          <w:highlight w:val="none"/>
        </w:rPr>
        <w:t>阳</w:t>
      </w:r>
      <w:r>
        <w:rPr>
          <w:rFonts w:asciiTheme="minorEastAsia" w:hAnsiTheme="minorEastAsia" w:eastAsiaTheme="minorEastAsia"/>
          <w:b/>
          <w:sz w:val="24"/>
          <w:szCs w:val="24"/>
          <w:highlight w:val="none"/>
        </w:rPr>
        <w:t>至</w:t>
      </w:r>
      <w:r>
        <w:rPr>
          <w:rFonts w:hint="eastAsia" w:asciiTheme="minorEastAsia" w:hAnsiTheme="minorEastAsia" w:eastAsiaTheme="minorEastAsia"/>
          <w:b/>
          <w:sz w:val="24"/>
          <w:szCs w:val="24"/>
          <w:highlight w:val="none"/>
        </w:rPr>
        <w:t>宁南</w:t>
      </w:r>
      <w:r>
        <w:rPr>
          <w:rFonts w:asciiTheme="minorEastAsia" w:hAnsiTheme="minorEastAsia" w:eastAsiaTheme="minorEastAsia"/>
          <w:b/>
          <w:sz w:val="24"/>
          <w:szCs w:val="24"/>
          <w:highlight w:val="none"/>
        </w:rPr>
        <w:t>段</w:t>
      </w:r>
      <w:r>
        <w:rPr>
          <w:rFonts w:hint="eastAsia" w:asciiTheme="minorEastAsia" w:hAnsiTheme="minorEastAsia" w:eastAsiaTheme="minorEastAsia"/>
          <w:b/>
          <w:sz w:val="24"/>
          <w:szCs w:val="24"/>
          <w:highlight w:val="none"/>
        </w:rPr>
        <w:t>高速公路项目</w:t>
      </w:r>
    </w:p>
    <w:p>
      <w:pPr>
        <w:pStyle w:val="4"/>
        <w:ind w:firstLine="0"/>
        <w:jc w:val="center"/>
        <w:rPr>
          <w:rFonts w:asciiTheme="minorEastAsia" w:hAnsiTheme="minorEastAsia" w:eastAsiaTheme="minorEastAsia"/>
          <w:sz w:val="24"/>
          <w:szCs w:val="24"/>
          <w:highlight w:val="none"/>
        </w:rPr>
      </w:pPr>
      <w:r>
        <w:rPr>
          <w:rFonts w:hint="eastAsia" w:cs="宋体" w:asciiTheme="minorEastAsia" w:hAnsiTheme="minorEastAsia" w:eastAsiaTheme="minorEastAsia"/>
          <w:b/>
          <w:sz w:val="24"/>
          <w:szCs w:val="24"/>
          <w:highlight w:val="none"/>
        </w:rPr>
        <w:t>2021～</w:t>
      </w:r>
      <w:r>
        <w:rPr>
          <w:rFonts w:cs="宋体" w:asciiTheme="minorEastAsia" w:hAnsiTheme="minorEastAsia" w:eastAsiaTheme="minorEastAsia"/>
          <w:b/>
          <w:sz w:val="24"/>
          <w:szCs w:val="24"/>
          <w:highlight w:val="none"/>
        </w:rPr>
        <w:t>2022</w:t>
      </w:r>
      <w:r>
        <w:rPr>
          <w:rFonts w:hint="eastAsia" w:cs="宋体" w:asciiTheme="minorEastAsia" w:hAnsiTheme="minorEastAsia" w:eastAsiaTheme="minorEastAsia"/>
          <w:b/>
          <w:sz w:val="24"/>
          <w:szCs w:val="24"/>
          <w:highlight w:val="none"/>
        </w:rPr>
        <w:t>年度钢材船舶运输服务（第三次）谈判公告</w:t>
      </w:r>
    </w:p>
    <w:p>
      <w:pPr>
        <w:pStyle w:val="4"/>
        <w:rPr>
          <w:highlight w:val="none"/>
        </w:rPr>
      </w:pPr>
    </w:p>
    <w:p>
      <w:pPr>
        <w:adjustRightInd w:val="0"/>
        <w:snapToGrid w:val="0"/>
        <w:spacing w:line="360" w:lineRule="auto"/>
        <w:rPr>
          <w:rFonts w:ascii="微软雅黑" w:hAnsi="微软雅黑" w:eastAsia="微软雅黑" w:cs="宋体"/>
          <w:b/>
          <w:kern w:val="0"/>
          <w:sz w:val="24"/>
          <w:szCs w:val="22"/>
          <w:highlight w:val="none"/>
          <w:lang w:val="zh-CN" w:bidi="zh-CN"/>
        </w:rPr>
      </w:pPr>
      <w:bookmarkStart w:id="9" w:name="_Toc217446031"/>
      <w:bookmarkStart w:id="10" w:name="_Toc213496267"/>
      <w:bookmarkStart w:id="11" w:name="_Toc213396945"/>
      <w:bookmarkStart w:id="12" w:name="_Toc213397009"/>
      <w:bookmarkStart w:id="13" w:name="_Toc213396759"/>
      <w:bookmarkStart w:id="14" w:name="_Toc89075871"/>
      <w:bookmarkStart w:id="15" w:name="_Toc183582202"/>
      <w:bookmarkStart w:id="16" w:name="_Toc183682339"/>
      <w:bookmarkStart w:id="17" w:name="_Toc77400776"/>
      <w:r>
        <w:rPr>
          <w:rFonts w:hint="eastAsia" w:ascii="微软雅黑" w:hAnsi="微软雅黑" w:eastAsia="微软雅黑" w:cs="宋体"/>
          <w:b/>
          <w:kern w:val="0"/>
          <w:sz w:val="24"/>
          <w:szCs w:val="22"/>
          <w:highlight w:val="none"/>
          <w:lang w:val="zh-CN" w:bidi="zh-CN"/>
        </w:rPr>
        <w:t>1.</w:t>
      </w:r>
      <w:r>
        <w:rPr>
          <w:rFonts w:ascii="微软雅黑" w:hAnsi="微软雅黑" w:eastAsia="微软雅黑" w:cs="宋体"/>
          <w:b/>
          <w:kern w:val="0"/>
          <w:sz w:val="24"/>
          <w:szCs w:val="22"/>
          <w:highlight w:val="none"/>
          <w:lang w:val="zh-CN" w:bidi="zh-CN"/>
        </w:rPr>
        <w:t xml:space="preserve"> 招标条件</w:t>
      </w:r>
    </w:p>
    <w:p>
      <w:pPr>
        <w:adjustRightInd w:val="0"/>
        <w:snapToGrid w:val="0"/>
        <w:spacing w:line="360" w:lineRule="auto"/>
        <w:ind w:left="105" w:leftChars="50" w:firstLine="420" w:firstLineChars="200"/>
        <w:rPr>
          <w:rFonts w:ascii="宋体" w:hAnsi="宋体"/>
          <w:color w:val="000000"/>
          <w:szCs w:val="21"/>
          <w:highlight w:val="none"/>
        </w:rPr>
      </w:pPr>
      <w:r>
        <w:rPr>
          <w:rFonts w:hint="eastAsia" w:ascii="宋体" w:hAnsi="宋体"/>
          <w:szCs w:val="21"/>
          <w:highlight w:val="none"/>
        </w:rPr>
        <w:t>G4216线屏山新市至金阳段高速公路项目、G4216线金阳</w:t>
      </w:r>
      <w:r>
        <w:rPr>
          <w:rFonts w:ascii="宋体" w:hAnsi="宋体"/>
          <w:szCs w:val="21"/>
          <w:highlight w:val="none"/>
        </w:rPr>
        <w:t>至宁南段高速公路项目</w:t>
      </w:r>
      <w:r>
        <w:rPr>
          <w:rFonts w:hint="eastAsia" w:ascii="宋体" w:hAnsi="宋体"/>
          <w:szCs w:val="21"/>
          <w:highlight w:val="none"/>
        </w:rPr>
        <w:t>（以下简称</w:t>
      </w:r>
      <w:r>
        <w:rPr>
          <w:rFonts w:ascii="宋体" w:hAnsi="宋体"/>
          <w:szCs w:val="21"/>
          <w:highlight w:val="none"/>
        </w:rPr>
        <w:t>“</w:t>
      </w:r>
      <w:r>
        <w:rPr>
          <w:rFonts w:hint="eastAsia" w:ascii="宋体" w:hAnsi="宋体"/>
          <w:szCs w:val="21"/>
          <w:highlight w:val="none"/>
        </w:rPr>
        <w:t>本项目</w:t>
      </w:r>
      <w:r>
        <w:rPr>
          <w:rFonts w:ascii="宋体" w:hAnsi="宋体"/>
          <w:szCs w:val="21"/>
          <w:highlight w:val="none"/>
        </w:rPr>
        <w:t>”</w:t>
      </w:r>
      <w:r>
        <w:rPr>
          <w:rFonts w:hint="eastAsia" w:ascii="宋体" w:hAnsi="宋体"/>
          <w:szCs w:val="21"/>
          <w:highlight w:val="none"/>
        </w:rPr>
        <w:t>）经批准采用PPP方式</w:t>
      </w:r>
      <w:r>
        <w:rPr>
          <w:rFonts w:ascii="宋体" w:hAnsi="宋体"/>
          <w:szCs w:val="21"/>
          <w:highlight w:val="none"/>
        </w:rPr>
        <w:t>组织建设</w:t>
      </w:r>
      <w:r>
        <w:rPr>
          <w:rFonts w:hint="eastAsia" w:ascii="宋体" w:hAnsi="宋体"/>
          <w:szCs w:val="21"/>
          <w:highlight w:val="none"/>
        </w:rPr>
        <w:t>。根据四川交投物流有限公司与施工总承包人四川交投建设工程股份有限公司的材料供应合同，由四川交投物流有限公司提供本项目</w:t>
      </w:r>
      <w:r>
        <w:rPr>
          <w:rFonts w:ascii="宋体" w:hAnsi="宋体"/>
          <w:szCs w:val="21"/>
          <w:highlight w:val="none"/>
        </w:rPr>
        <w:t>的钢材</w:t>
      </w:r>
      <w:r>
        <w:rPr>
          <w:rFonts w:hint="eastAsia" w:ascii="宋体" w:hAnsi="宋体"/>
          <w:szCs w:val="21"/>
          <w:highlight w:val="none"/>
        </w:rPr>
        <w:t>、</w:t>
      </w:r>
      <w:r>
        <w:rPr>
          <w:rFonts w:ascii="宋体" w:hAnsi="宋体"/>
          <w:szCs w:val="21"/>
          <w:highlight w:val="none"/>
        </w:rPr>
        <w:t>水泥</w:t>
      </w:r>
      <w:r>
        <w:rPr>
          <w:rFonts w:hint="eastAsia" w:ascii="宋体" w:hAnsi="宋体"/>
          <w:szCs w:val="21"/>
          <w:highlight w:val="none"/>
        </w:rPr>
        <w:t>供应。现项目已具备招标条件，</w:t>
      </w:r>
      <w:r>
        <w:rPr>
          <w:rFonts w:ascii="宋体" w:hAnsi="宋体"/>
          <w:szCs w:val="21"/>
          <w:highlight w:val="none"/>
        </w:rPr>
        <w:t>由</w:t>
      </w:r>
      <w:r>
        <w:rPr>
          <w:rFonts w:hint="eastAsia" w:ascii="宋体" w:hAnsi="宋体"/>
          <w:szCs w:val="21"/>
          <w:highlight w:val="none"/>
        </w:rPr>
        <w:t>四川交投物流有限公司作为采购人</w:t>
      </w:r>
      <w:r>
        <w:rPr>
          <w:rFonts w:ascii="宋体" w:hAnsi="宋体"/>
          <w:szCs w:val="21"/>
          <w:highlight w:val="none"/>
        </w:rPr>
        <w:t>以及</w:t>
      </w:r>
      <w:r>
        <w:rPr>
          <w:rFonts w:hint="eastAsia" w:ascii="宋体" w:hAnsi="宋体"/>
          <w:szCs w:val="21"/>
          <w:highlight w:val="none"/>
        </w:rPr>
        <w:t>招标人（以下简称“招标人”）对本项目2021～</w:t>
      </w:r>
      <w:r>
        <w:rPr>
          <w:rFonts w:ascii="宋体" w:hAnsi="宋体"/>
          <w:szCs w:val="21"/>
          <w:highlight w:val="none"/>
        </w:rPr>
        <w:t>2022</w:t>
      </w:r>
      <w:r>
        <w:rPr>
          <w:rFonts w:hint="eastAsia" w:ascii="宋体" w:hAnsi="宋体"/>
          <w:szCs w:val="21"/>
          <w:highlight w:val="none"/>
        </w:rPr>
        <w:t>年度钢材船舶运输服务</w:t>
      </w:r>
      <w:r>
        <w:rPr>
          <w:rFonts w:ascii="宋体" w:hAnsi="宋体"/>
          <w:szCs w:val="21"/>
          <w:highlight w:val="none"/>
        </w:rPr>
        <w:t>（</w:t>
      </w:r>
      <w:r>
        <w:rPr>
          <w:rFonts w:hint="eastAsia" w:ascii="宋体" w:hAnsi="宋体"/>
          <w:szCs w:val="21"/>
          <w:highlight w:val="none"/>
        </w:rPr>
        <w:t>第三次</w:t>
      </w:r>
      <w:r>
        <w:rPr>
          <w:rFonts w:ascii="宋体" w:hAnsi="宋体"/>
          <w:szCs w:val="21"/>
          <w:highlight w:val="none"/>
        </w:rPr>
        <w:t>）</w:t>
      </w:r>
      <w:r>
        <w:rPr>
          <w:rFonts w:hint="eastAsia" w:ascii="宋体" w:hAnsi="宋体"/>
          <w:szCs w:val="21"/>
          <w:highlight w:val="none"/>
        </w:rPr>
        <w:t>进行</w:t>
      </w:r>
      <w:r>
        <w:rPr>
          <w:rFonts w:hint="eastAsia" w:ascii="宋体" w:hAnsi="宋体"/>
          <w:color w:val="000000"/>
          <w:szCs w:val="21"/>
          <w:highlight w:val="none"/>
        </w:rPr>
        <w:t>国内竞争性谈判，兹邀请符合本次竞争性谈判要求的潜在投标人参加谈判。</w:t>
      </w:r>
      <w:r>
        <w:rPr>
          <w:rFonts w:ascii="宋体" w:hAnsi="宋体"/>
          <w:szCs w:val="21"/>
          <w:highlight w:val="none"/>
        </w:rPr>
        <w:t>选择</w:t>
      </w:r>
      <w:r>
        <w:rPr>
          <w:rFonts w:hint="eastAsia" w:ascii="宋体" w:hAnsi="宋体"/>
          <w:szCs w:val="21"/>
          <w:highlight w:val="none"/>
        </w:rPr>
        <w:t>承运商采用</w:t>
      </w:r>
      <w:r>
        <w:rPr>
          <w:rFonts w:ascii="宋体" w:hAnsi="宋体"/>
          <w:szCs w:val="21"/>
          <w:highlight w:val="none"/>
        </w:rPr>
        <w:t>船舶运输方式</w:t>
      </w:r>
      <w:r>
        <w:rPr>
          <w:rFonts w:hint="eastAsia" w:ascii="宋体" w:hAnsi="宋体"/>
          <w:szCs w:val="21"/>
          <w:highlight w:val="none"/>
        </w:rPr>
        <w:t>将采购人</w:t>
      </w:r>
      <w:r>
        <w:rPr>
          <w:rFonts w:ascii="宋体" w:hAnsi="宋体"/>
          <w:szCs w:val="21"/>
          <w:highlight w:val="none"/>
        </w:rPr>
        <w:t>已采购的</w:t>
      </w:r>
      <w:r>
        <w:rPr>
          <w:rFonts w:hint="eastAsia" w:ascii="宋体" w:hAnsi="宋体"/>
          <w:szCs w:val="21"/>
          <w:highlight w:val="none"/>
        </w:rPr>
        <w:t>钢材</w:t>
      </w:r>
      <w:r>
        <w:rPr>
          <w:rFonts w:ascii="宋体" w:hAnsi="宋体"/>
          <w:szCs w:val="21"/>
          <w:highlight w:val="none"/>
        </w:rPr>
        <w:t>材料</w:t>
      </w:r>
      <w:r>
        <w:rPr>
          <w:rFonts w:hint="eastAsia" w:ascii="宋体" w:hAnsi="宋体"/>
          <w:szCs w:val="21"/>
          <w:highlight w:val="none"/>
        </w:rPr>
        <w:t>从</w:t>
      </w:r>
      <w:r>
        <w:rPr>
          <w:rFonts w:ascii="宋体" w:hAnsi="宋体"/>
          <w:szCs w:val="21"/>
          <w:highlight w:val="none"/>
        </w:rPr>
        <w:t>重庆果园港</w:t>
      </w:r>
      <w:r>
        <w:rPr>
          <w:rFonts w:hint="eastAsia" w:ascii="宋体" w:hAnsi="宋体"/>
          <w:szCs w:val="21"/>
          <w:highlight w:val="none"/>
        </w:rPr>
        <w:t>（位于</w:t>
      </w:r>
      <w:r>
        <w:rPr>
          <w:rFonts w:ascii="宋体" w:hAnsi="宋体"/>
          <w:szCs w:val="21"/>
          <w:highlight w:val="none"/>
        </w:rPr>
        <w:t>重庆</w:t>
      </w:r>
      <w:r>
        <w:rPr>
          <w:rFonts w:hint="eastAsia" w:ascii="宋体" w:hAnsi="宋体"/>
          <w:szCs w:val="21"/>
          <w:highlight w:val="none"/>
        </w:rPr>
        <w:t>市</w:t>
      </w:r>
      <w:r>
        <w:rPr>
          <w:rFonts w:ascii="宋体" w:hAnsi="宋体"/>
          <w:szCs w:val="21"/>
          <w:highlight w:val="none"/>
        </w:rPr>
        <w:t>江北区</w:t>
      </w:r>
      <w:r>
        <w:rPr>
          <w:rFonts w:hint="eastAsia" w:ascii="宋体" w:hAnsi="宋体"/>
          <w:szCs w:val="21"/>
          <w:highlight w:val="none"/>
        </w:rPr>
        <w:t>鱼嘴镇）运抵雷波</w:t>
      </w:r>
      <w:r>
        <w:rPr>
          <w:rFonts w:ascii="宋体" w:hAnsi="宋体"/>
          <w:szCs w:val="21"/>
          <w:highlight w:val="none"/>
        </w:rPr>
        <w:t>糖房坝码头</w:t>
      </w:r>
      <w:r>
        <w:rPr>
          <w:rFonts w:hint="eastAsia" w:ascii="宋体" w:hAnsi="宋体"/>
          <w:szCs w:val="21"/>
          <w:highlight w:val="none"/>
        </w:rPr>
        <w:t>（位于四川省凉山彝族自治州雷波县渡口乡，为采购人</w:t>
      </w:r>
      <w:r>
        <w:rPr>
          <w:rFonts w:ascii="宋体" w:hAnsi="宋体"/>
          <w:szCs w:val="21"/>
          <w:highlight w:val="none"/>
        </w:rPr>
        <w:t>材料</w:t>
      </w:r>
      <w:r>
        <w:rPr>
          <w:rFonts w:hint="eastAsia" w:ascii="宋体" w:hAnsi="宋体"/>
          <w:szCs w:val="21"/>
          <w:highlight w:val="none"/>
        </w:rPr>
        <w:t>中转库）。</w:t>
      </w:r>
    </w:p>
    <w:p>
      <w:pPr>
        <w:autoSpaceDE w:val="0"/>
        <w:autoSpaceDN w:val="0"/>
        <w:adjustRightInd w:val="0"/>
        <w:snapToGrid w:val="0"/>
        <w:spacing w:line="360" w:lineRule="auto"/>
        <w:jc w:val="left"/>
        <w:rPr>
          <w:rFonts w:ascii="微软雅黑" w:hAnsi="微软雅黑" w:eastAsia="微软雅黑" w:cs="宋体"/>
          <w:b/>
          <w:kern w:val="0"/>
          <w:sz w:val="24"/>
          <w:szCs w:val="22"/>
          <w:highlight w:val="none"/>
          <w:lang w:val="zh-CN" w:bidi="zh-CN"/>
        </w:rPr>
      </w:pPr>
      <w:r>
        <w:rPr>
          <w:rFonts w:hint="eastAsia" w:ascii="微软雅黑" w:hAnsi="微软雅黑" w:eastAsia="微软雅黑" w:cs="宋体"/>
          <w:b/>
          <w:kern w:val="0"/>
          <w:sz w:val="24"/>
          <w:szCs w:val="22"/>
          <w:highlight w:val="none"/>
          <w:lang w:val="zh-CN" w:bidi="zh-CN"/>
        </w:rPr>
        <w:t>2.</w:t>
      </w:r>
      <w:r>
        <w:rPr>
          <w:rFonts w:ascii="微软雅黑" w:hAnsi="微软雅黑" w:eastAsia="微软雅黑" w:cs="宋体"/>
          <w:b/>
          <w:kern w:val="0"/>
          <w:sz w:val="24"/>
          <w:szCs w:val="22"/>
          <w:highlight w:val="none"/>
          <w:lang w:val="zh-CN" w:bidi="zh-CN"/>
        </w:rPr>
        <w:t xml:space="preserve"> </w:t>
      </w:r>
      <w:r>
        <w:rPr>
          <w:rFonts w:hint="eastAsia" w:ascii="微软雅黑" w:hAnsi="微软雅黑" w:eastAsia="微软雅黑" w:cs="宋体"/>
          <w:b/>
          <w:kern w:val="0"/>
          <w:sz w:val="24"/>
          <w:szCs w:val="22"/>
          <w:highlight w:val="none"/>
          <w:lang w:val="zh-CN" w:bidi="zh-CN"/>
        </w:rPr>
        <w:t xml:space="preserve">项目概况与招标范围 </w:t>
      </w:r>
    </w:p>
    <w:p>
      <w:pPr>
        <w:autoSpaceDE w:val="0"/>
        <w:autoSpaceDN w:val="0"/>
        <w:adjustRightInd w:val="0"/>
        <w:snapToGrid w:val="0"/>
        <w:spacing w:line="360" w:lineRule="auto"/>
        <w:ind w:firstLine="422" w:firstLineChars="200"/>
        <w:jc w:val="left"/>
        <w:rPr>
          <w:rFonts w:ascii="宋体" w:hAnsi="宋体" w:cs="宋体"/>
          <w:b/>
          <w:kern w:val="0"/>
          <w:szCs w:val="21"/>
          <w:highlight w:val="none"/>
          <w:lang w:val="zh-CN" w:bidi="zh-CN"/>
        </w:rPr>
      </w:pPr>
      <w:r>
        <w:rPr>
          <w:rFonts w:hint="eastAsia" w:ascii="宋体" w:hAnsi="宋体" w:cs="宋体"/>
          <w:b/>
          <w:kern w:val="0"/>
          <w:szCs w:val="21"/>
          <w:highlight w:val="none"/>
          <w:lang w:val="zh-CN" w:bidi="zh-CN"/>
        </w:rPr>
        <w:t>2.1</w:t>
      </w:r>
      <w:r>
        <w:rPr>
          <w:rFonts w:ascii="宋体" w:hAnsi="宋体" w:cs="宋体"/>
          <w:b/>
          <w:kern w:val="0"/>
          <w:szCs w:val="21"/>
          <w:highlight w:val="none"/>
          <w:lang w:val="zh-CN" w:bidi="zh-CN"/>
        </w:rPr>
        <w:t xml:space="preserve"> </w:t>
      </w:r>
      <w:r>
        <w:rPr>
          <w:rFonts w:hint="eastAsia" w:ascii="宋体" w:hAnsi="宋体" w:cs="宋体"/>
          <w:b/>
          <w:kern w:val="0"/>
          <w:szCs w:val="21"/>
          <w:highlight w:val="none"/>
          <w:lang w:val="zh-CN" w:bidi="zh-CN"/>
        </w:rPr>
        <w:t>工程概况</w:t>
      </w:r>
    </w:p>
    <w:p>
      <w:pPr>
        <w:autoSpaceDE w:val="0"/>
        <w:autoSpaceDN w:val="0"/>
        <w:adjustRightInd w:val="0"/>
        <w:snapToGrid w:val="0"/>
        <w:spacing w:line="360" w:lineRule="auto"/>
        <w:ind w:firstLine="420" w:firstLineChars="200"/>
        <w:jc w:val="left"/>
        <w:rPr>
          <w:szCs w:val="22"/>
          <w:highlight w:val="none"/>
        </w:rPr>
      </w:pPr>
      <w:r>
        <w:rPr>
          <w:rFonts w:hint="eastAsia" w:ascii="宋体" w:hAnsi="宋体"/>
          <w:szCs w:val="21"/>
          <w:highlight w:val="none"/>
        </w:rPr>
        <w:t>（1）G4216线屏山新市至金阳段</w:t>
      </w:r>
      <w:r>
        <w:rPr>
          <w:szCs w:val="22"/>
          <w:highlight w:val="none"/>
        </w:rPr>
        <w:t>起于屏山县新市镇，顺接仁沐新高速公路，经屏山县清平乡，雷波县汶水镇、雷波县城、卡哈洛乡，止于金阳县芦稿镇。同步建设连接云南绥江县城的绥江支线和连接永善县城的永善支线。项目主线长约165.688公里，绥江支线长约3.789公里，永善支线长约4.497公里</w:t>
      </w:r>
      <w:r>
        <w:rPr>
          <w:rFonts w:hint="eastAsia"/>
          <w:szCs w:val="22"/>
          <w:highlight w:val="none"/>
        </w:rPr>
        <w:t>，</w:t>
      </w:r>
      <w:r>
        <w:rPr>
          <w:szCs w:val="22"/>
          <w:highlight w:val="none"/>
        </w:rPr>
        <w:t>马湖连接线长9.286公里。</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szCs w:val="22"/>
          <w:highlight w:val="none"/>
        </w:rPr>
        <w:t>（2）</w:t>
      </w:r>
      <w:r>
        <w:rPr>
          <w:rFonts w:hint="eastAsia" w:ascii="宋体" w:hAnsi="宋体"/>
          <w:szCs w:val="21"/>
          <w:highlight w:val="none"/>
        </w:rPr>
        <w:t>G4216线</w:t>
      </w:r>
      <w:r>
        <w:rPr>
          <w:rFonts w:hint="eastAsia"/>
          <w:szCs w:val="22"/>
          <w:highlight w:val="none"/>
        </w:rPr>
        <w:t>金阳至</w:t>
      </w:r>
      <w:r>
        <w:rPr>
          <w:szCs w:val="22"/>
          <w:highlight w:val="none"/>
        </w:rPr>
        <w:t>宁南段</w:t>
      </w:r>
      <w:r>
        <w:rPr>
          <w:rFonts w:hint="eastAsia"/>
          <w:szCs w:val="22"/>
          <w:highlight w:val="none"/>
        </w:rPr>
        <w:t>起于</w:t>
      </w:r>
      <w:r>
        <w:rPr>
          <w:szCs w:val="22"/>
          <w:highlight w:val="none"/>
        </w:rPr>
        <w:t>金阳县芦稿镇，顺接</w:t>
      </w:r>
      <w:r>
        <w:rPr>
          <w:rFonts w:hint="eastAsia"/>
          <w:szCs w:val="22"/>
          <w:highlight w:val="none"/>
        </w:rPr>
        <w:t>G4216屏山</w:t>
      </w:r>
      <w:r>
        <w:rPr>
          <w:szCs w:val="22"/>
          <w:highlight w:val="none"/>
        </w:rPr>
        <w:t>新市至金阳段高速公路，经对坪镇、山江乡，布拖县麻地坪，宁南县白鹤滩镇、骑骡沟乡，止于</w:t>
      </w:r>
      <w:r>
        <w:rPr>
          <w:rFonts w:hint="eastAsia"/>
          <w:szCs w:val="22"/>
          <w:highlight w:val="none"/>
        </w:rPr>
        <w:t>宁南</w:t>
      </w:r>
      <w:r>
        <w:rPr>
          <w:szCs w:val="22"/>
          <w:highlight w:val="none"/>
        </w:rPr>
        <w:t>县城</w:t>
      </w:r>
      <w:r>
        <w:rPr>
          <w:rFonts w:hint="eastAsia"/>
          <w:szCs w:val="22"/>
          <w:highlight w:val="none"/>
        </w:rPr>
        <w:t>南侧</w:t>
      </w:r>
      <w:r>
        <w:rPr>
          <w:szCs w:val="22"/>
          <w:highlight w:val="none"/>
        </w:rPr>
        <w:t>黑泥沟，顺接</w:t>
      </w:r>
      <w:r>
        <w:rPr>
          <w:rFonts w:hint="eastAsia"/>
          <w:szCs w:val="22"/>
          <w:highlight w:val="none"/>
        </w:rPr>
        <w:t>G4216线</w:t>
      </w:r>
      <w:r>
        <w:rPr>
          <w:szCs w:val="22"/>
          <w:highlight w:val="none"/>
        </w:rPr>
        <w:t>宁南至攀枝花段高速公路，同步建设接云南巧家县城的巧家支线。项目</w:t>
      </w:r>
      <w:r>
        <w:rPr>
          <w:rFonts w:hint="eastAsia"/>
          <w:szCs w:val="22"/>
          <w:highlight w:val="none"/>
        </w:rPr>
        <w:t>主线长约93.9公里</w:t>
      </w:r>
      <w:r>
        <w:rPr>
          <w:szCs w:val="22"/>
          <w:highlight w:val="none"/>
        </w:rPr>
        <w:t>。</w:t>
      </w:r>
    </w:p>
    <w:p>
      <w:pPr>
        <w:autoSpaceDE w:val="0"/>
        <w:autoSpaceDN w:val="0"/>
        <w:adjustRightInd w:val="0"/>
        <w:snapToGrid w:val="0"/>
        <w:spacing w:line="360" w:lineRule="auto"/>
        <w:ind w:firstLine="422" w:firstLineChars="200"/>
        <w:jc w:val="left"/>
        <w:rPr>
          <w:rFonts w:ascii="宋体" w:hAnsi="宋体" w:cs="宋体"/>
          <w:b/>
          <w:kern w:val="0"/>
          <w:szCs w:val="21"/>
          <w:highlight w:val="none"/>
          <w:lang w:val="zh-CN" w:bidi="zh-CN"/>
        </w:rPr>
      </w:pPr>
      <w:r>
        <w:rPr>
          <w:rFonts w:hint="eastAsia" w:ascii="宋体" w:hAnsi="宋体" w:cs="宋体"/>
          <w:b/>
          <w:kern w:val="0"/>
          <w:szCs w:val="21"/>
          <w:highlight w:val="none"/>
          <w:lang w:val="zh-CN" w:bidi="zh-CN"/>
        </w:rPr>
        <w:t>2.2</w:t>
      </w:r>
      <w:r>
        <w:rPr>
          <w:rFonts w:ascii="宋体" w:hAnsi="宋体" w:cs="宋体"/>
          <w:b/>
          <w:kern w:val="0"/>
          <w:szCs w:val="21"/>
          <w:highlight w:val="none"/>
          <w:lang w:val="zh-CN" w:bidi="zh-CN"/>
        </w:rPr>
        <w:t xml:space="preserve"> </w:t>
      </w:r>
      <w:r>
        <w:rPr>
          <w:rFonts w:hint="eastAsia" w:ascii="宋体" w:hAnsi="宋体" w:cs="宋体"/>
          <w:b/>
          <w:kern w:val="0"/>
          <w:szCs w:val="21"/>
          <w:highlight w:val="none"/>
          <w:lang w:val="zh-CN" w:bidi="zh-CN"/>
        </w:rPr>
        <w:t>技术标准</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szCs w:val="21"/>
          <w:highlight w:val="none"/>
        </w:rPr>
        <w:t>两条高速公路主线及支线均采用双向四车道高速公路标准建设，设计速度采用80公里/小时，路基宽度采用25.5米。桥涵设计汽车荷载等级采用公路-Ⅰ级，其它技术指标按《公路工程技术标准》（JTG B01-2014）执行。连接线均采用二级公路标准建设。</w:t>
      </w:r>
    </w:p>
    <w:p>
      <w:pPr>
        <w:autoSpaceDE w:val="0"/>
        <w:autoSpaceDN w:val="0"/>
        <w:adjustRightInd w:val="0"/>
        <w:snapToGrid w:val="0"/>
        <w:spacing w:line="360" w:lineRule="auto"/>
        <w:ind w:firstLine="422" w:firstLineChars="200"/>
        <w:jc w:val="left"/>
        <w:rPr>
          <w:rFonts w:ascii="宋体" w:hAnsi="宋体" w:cs="宋体"/>
          <w:b/>
          <w:kern w:val="0"/>
          <w:szCs w:val="21"/>
          <w:highlight w:val="none"/>
          <w:lang w:val="zh-CN" w:bidi="zh-CN"/>
        </w:rPr>
      </w:pPr>
      <w:r>
        <w:rPr>
          <w:rFonts w:hint="eastAsia" w:ascii="宋体" w:hAnsi="宋体" w:cs="宋体"/>
          <w:b/>
          <w:kern w:val="0"/>
          <w:szCs w:val="21"/>
          <w:highlight w:val="none"/>
          <w:lang w:val="zh-CN" w:bidi="zh-CN"/>
        </w:rPr>
        <w:t>2.3</w:t>
      </w:r>
      <w:r>
        <w:rPr>
          <w:rFonts w:ascii="宋体" w:hAnsi="宋体" w:cs="宋体"/>
          <w:b/>
          <w:kern w:val="0"/>
          <w:szCs w:val="21"/>
          <w:highlight w:val="none"/>
          <w:lang w:val="zh-CN" w:bidi="zh-CN"/>
        </w:rPr>
        <w:t xml:space="preserve"> </w:t>
      </w:r>
      <w:r>
        <w:rPr>
          <w:rFonts w:hint="eastAsia" w:ascii="宋体" w:hAnsi="宋体" w:cs="宋体"/>
          <w:b/>
          <w:kern w:val="0"/>
          <w:szCs w:val="21"/>
          <w:highlight w:val="none"/>
          <w:lang w:val="zh-CN" w:bidi="zh-CN"/>
        </w:rPr>
        <w:t>招标范围及标段划分</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本次招标范围</w:t>
      </w:r>
      <w:r>
        <w:rPr>
          <w:rFonts w:ascii="宋体" w:hAnsi="宋体" w:cs="宋体"/>
          <w:kern w:val="0"/>
          <w:szCs w:val="21"/>
          <w:highlight w:val="none"/>
          <w:lang w:val="zh-CN" w:bidi="zh-CN"/>
        </w:rPr>
        <w:t>为</w:t>
      </w:r>
      <w:r>
        <w:rPr>
          <w:rFonts w:hint="eastAsia" w:ascii="宋体" w:hAnsi="宋体"/>
          <w:szCs w:val="21"/>
          <w:highlight w:val="none"/>
        </w:rPr>
        <w:t>G4216线屏山新市至金阳段、</w:t>
      </w:r>
      <w:r>
        <w:rPr>
          <w:rFonts w:ascii="宋体" w:hAnsi="宋体"/>
          <w:szCs w:val="21"/>
          <w:highlight w:val="none"/>
        </w:rPr>
        <w:t>金阳至宁南段</w:t>
      </w:r>
      <w:r>
        <w:rPr>
          <w:rFonts w:hint="eastAsia" w:ascii="宋体" w:hAnsi="宋体"/>
          <w:szCs w:val="21"/>
          <w:highlight w:val="none"/>
        </w:rPr>
        <w:t>高速公路项目2021～</w:t>
      </w:r>
      <w:r>
        <w:rPr>
          <w:rFonts w:ascii="宋体" w:hAnsi="宋体"/>
          <w:szCs w:val="21"/>
          <w:highlight w:val="none"/>
        </w:rPr>
        <w:t>2022</w:t>
      </w:r>
      <w:r>
        <w:rPr>
          <w:rFonts w:hint="eastAsia" w:ascii="宋体" w:hAnsi="宋体"/>
          <w:szCs w:val="21"/>
          <w:highlight w:val="none"/>
        </w:rPr>
        <w:t>年度</w:t>
      </w:r>
      <w:r>
        <w:rPr>
          <w:rFonts w:hint="eastAsia" w:ascii="宋体" w:hAnsi="宋体" w:cs="宋体"/>
          <w:kern w:val="0"/>
          <w:szCs w:val="21"/>
          <w:highlight w:val="none"/>
          <w:lang w:val="zh-CN" w:bidi="zh-CN"/>
        </w:rPr>
        <w:t>钢材船舶运输服务。本次招标钢材运输</w:t>
      </w:r>
      <w:r>
        <w:rPr>
          <w:rFonts w:ascii="宋体" w:hAnsi="宋体" w:cs="宋体"/>
          <w:kern w:val="0"/>
          <w:szCs w:val="21"/>
          <w:highlight w:val="none"/>
          <w:lang w:val="zh-CN" w:bidi="zh-CN"/>
        </w:rPr>
        <w:t>划分为</w:t>
      </w:r>
      <w:r>
        <w:rPr>
          <w:rFonts w:hint="eastAsia" w:ascii="宋体" w:hAnsi="宋体" w:cs="宋体"/>
          <w:kern w:val="0"/>
          <w:szCs w:val="21"/>
          <w:highlight w:val="none"/>
          <w:u w:val="single"/>
          <w:lang w:val="zh-CN" w:bidi="zh-CN"/>
        </w:rPr>
        <w:t>GC</w:t>
      </w:r>
      <w:r>
        <w:rPr>
          <w:rFonts w:ascii="宋体" w:hAnsi="宋体" w:cs="宋体"/>
          <w:kern w:val="0"/>
          <w:szCs w:val="21"/>
          <w:highlight w:val="none"/>
          <w:u w:val="single"/>
          <w:lang w:val="zh-CN" w:bidi="zh-CN"/>
        </w:rPr>
        <w:t xml:space="preserve">YS </w:t>
      </w:r>
      <w:r>
        <w:rPr>
          <w:rFonts w:hint="eastAsia" w:ascii="宋体" w:hAnsi="宋体" w:cs="宋体"/>
          <w:kern w:val="0"/>
          <w:szCs w:val="21"/>
          <w:highlight w:val="none"/>
          <w:lang w:val="zh-CN" w:bidi="zh-CN"/>
        </w:rPr>
        <w:t xml:space="preserve">共计 </w:t>
      </w:r>
      <w:r>
        <w:rPr>
          <w:rFonts w:ascii="宋体" w:hAnsi="宋体" w:cs="宋体"/>
          <w:kern w:val="0"/>
          <w:szCs w:val="21"/>
          <w:highlight w:val="none"/>
          <w:u w:val="single"/>
          <w:lang w:val="zh-CN" w:bidi="zh-CN"/>
        </w:rPr>
        <w:t xml:space="preserve">1 </w:t>
      </w:r>
      <w:r>
        <w:rPr>
          <w:rFonts w:hint="eastAsia" w:ascii="宋体" w:hAnsi="宋体" w:cs="宋体"/>
          <w:kern w:val="0"/>
          <w:szCs w:val="21"/>
          <w:highlight w:val="none"/>
          <w:u w:val="single"/>
          <w:lang w:val="zh-CN" w:bidi="zh-CN"/>
        </w:rPr>
        <w:t>个</w:t>
      </w:r>
      <w:r>
        <w:rPr>
          <w:rFonts w:hint="eastAsia" w:ascii="宋体" w:hAnsi="宋体" w:cs="宋体"/>
          <w:kern w:val="0"/>
          <w:szCs w:val="21"/>
          <w:highlight w:val="none"/>
          <w:lang w:val="zh-CN" w:bidi="zh-CN"/>
        </w:rPr>
        <w:t>标段</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标段划分、预估运输数量、交货起终点、</w:t>
      </w:r>
      <w:r>
        <w:rPr>
          <w:rFonts w:ascii="宋体" w:hAnsi="宋体" w:cs="宋体"/>
          <w:kern w:val="0"/>
          <w:szCs w:val="21"/>
          <w:highlight w:val="none"/>
          <w:lang w:val="zh-CN" w:bidi="zh-CN"/>
        </w:rPr>
        <w:t>运输方式</w:t>
      </w:r>
      <w:r>
        <w:rPr>
          <w:rFonts w:hint="eastAsia" w:ascii="宋体" w:hAnsi="宋体" w:cs="宋体"/>
          <w:kern w:val="0"/>
          <w:szCs w:val="21"/>
          <w:highlight w:val="none"/>
          <w:lang w:val="zh-CN" w:bidi="zh-CN"/>
        </w:rPr>
        <w:t>、预计运输</w:t>
      </w:r>
      <w:r>
        <w:rPr>
          <w:rFonts w:ascii="宋体" w:hAnsi="宋体" w:cs="宋体"/>
          <w:kern w:val="0"/>
          <w:szCs w:val="21"/>
          <w:highlight w:val="none"/>
          <w:lang w:val="zh-CN" w:bidi="zh-CN"/>
        </w:rPr>
        <w:t>服务</w:t>
      </w:r>
      <w:r>
        <w:rPr>
          <w:rFonts w:hint="eastAsia" w:ascii="宋体" w:hAnsi="宋体" w:cs="宋体"/>
          <w:kern w:val="0"/>
          <w:szCs w:val="21"/>
          <w:highlight w:val="none"/>
          <w:lang w:val="zh-CN" w:bidi="zh-CN"/>
        </w:rPr>
        <w:t>期见下表</w:t>
      </w:r>
      <w:r>
        <w:rPr>
          <w:rFonts w:ascii="宋体" w:hAnsi="宋体" w:cs="宋体"/>
          <w:kern w:val="0"/>
          <w:szCs w:val="21"/>
          <w:highlight w:val="none"/>
          <w:lang w:val="zh-CN" w:bidi="zh-CN"/>
        </w:rPr>
        <w:t>。</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p>
    <w:tbl>
      <w:tblPr>
        <w:tblStyle w:val="13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80"/>
        <w:gridCol w:w="1112"/>
        <w:gridCol w:w="1105"/>
        <w:gridCol w:w="1650"/>
        <w:gridCol w:w="1105"/>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55"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cs="宋体"/>
                <w:szCs w:val="21"/>
                <w:highlight w:val="none"/>
              </w:rPr>
              <w:t>标段号</w:t>
            </w:r>
          </w:p>
        </w:tc>
        <w:tc>
          <w:tcPr>
            <w:tcW w:w="880"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运输内容</w:t>
            </w:r>
          </w:p>
        </w:tc>
        <w:tc>
          <w:tcPr>
            <w:tcW w:w="1112"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暂定数量（万吨）</w:t>
            </w:r>
          </w:p>
        </w:tc>
        <w:tc>
          <w:tcPr>
            <w:tcW w:w="1105"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预计运输服务期</w:t>
            </w:r>
          </w:p>
        </w:tc>
        <w:tc>
          <w:tcPr>
            <w:tcW w:w="1650"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运输起点/装货</w:t>
            </w:r>
            <w:r>
              <w:rPr>
                <w:rFonts w:ascii="宋体" w:hAnsi="宋体"/>
                <w:szCs w:val="21"/>
                <w:highlight w:val="none"/>
              </w:rPr>
              <w:t>人</w:t>
            </w:r>
          </w:p>
        </w:tc>
        <w:tc>
          <w:tcPr>
            <w:tcW w:w="1105"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运输方式</w:t>
            </w:r>
          </w:p>
        </w:tc>
        <w:tc>
          <w:tcPr>
            <w:tcW w:w="1519"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运输终点/卸货</w:t>
            </w:r>
            <w:r>
              <w:rPr>
                <w:rFonts w:ascii="宋体" w:hAnsi="宋体"/>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55"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GC</w:t>
            </w:r>
            <w:r>
              <w:rPr>
                <w:rFonts w:ascii="宋体" w:hAnsi="宋体" w:cs="宋体"/>
                <w:szCs w:val="21"/>
                <w:highlight w:val="none"/>
              </w:rPr>
              <w:t>YS</w:t>
            </w:r>
          </w:p>
        </w:tc>
        <w:tc>
          <w:tcPr>
            <w:tcW w:w="880"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钢材(钢筋)</w:t>
            </w:r>
          </w:p>
        </w:tc>
        <w:tc>
          <w:tcPr>
            <w:tcW w:w="1112" w:type="dxa"/>
            <w:vAlign w:val="center"/>
          </w:tcPr>
          <w:p>
            <w:pPr>
              <w:autoSpaceDE w:val="0"/>
              <w:autoSpaceDN w:val="0"/>
              <w:jc w:val="center"/>
              <w:rPr>
                <w:rFonts w:ascii="宋体" w:hAnsi="宋体" w:cs="宋体"/>
                <w:kern w:val="0"/>
                <w:szCs w:val="21"/>
                <w:highlight w:val="none"/>
                <w:lang w:val="zh-CN" w:bidi="zh-CN"/>
              </w:rPr>
            </w:pPr>
            <w:r>
              <w:rPr>
                <w:rFonts w:ascii="宋体" w:hAnsi="宋体" w:cs="宋体"/>
                <w:kern w:val="0"/>
                <w:szCs w:val="21"/>
                <w:highlight w:val="none"/>
                <w:lang w:val="zh-CN" w:bidi="zh-CN"/>
              </w:rPr>
              <w:t>5</w:t>
            </w:r>
            <w:r>
              <w:rPr>
                <w:rFonts w:hint="eastAsia" w:ascii="宋体" w:hAnsi="宋体" w:cs="宋体"/>
                <w:kern w:val="0"/>
                <w:szCs w:val="21"/>
                <w:highlight w:val="none"/>
                <w:lang w:val="zh-CN" w:bidi="zh-CN"/>
              </w:rPr>
              <w:t>0</w:t>
            </w:r>
          </w:p>
        </w:tc>
        <w:tc>
          <w:tcPr>
            <w:tcW w:w="1105" w:type="dxa"/>
            <w:vAlign w:val="center"/>
          </w:tcPr>
          <w:p>
            <w:pPr>
              <w:autoSpaceDE w:val="0"/>
              <w:autoSpaceDN w:val="0"/>
              <w:jc w:val="center"/>
              <w:rPr>
                <w:rFonts w:ascii="宋体" w:hAnsi="宋体" w:cs="宋体"/>
                <w:kern w:val="0"/>
                <w:szCs w:val="21"/>
                <w:highlight w:val="none"/>
                <w:lang w:val="zh-CN" w:bidi="zh-CN"/>
              </w:rPr>
            </w:pPr>
            <w:r>
              <w:rPr>
                <w:rFonts w:ascii="宋体" w:hAnsi="宋体" w:cs="宋体"/>
                <w:kern w:val="0"/>
                <w:szCs w:val="21"/>
                <w:highlight w:val="none"/>
                <w:lang w:val="zh-CN" w:bidi="zh-CN"/>
              </w:rPr>
              <w:t>24</w:t>
            </w:r>
            <w:r>
              <w:rPr>
                <w:rFonts w:hint="eastAsia" w:ascii="宋体" w:hAnsi="宋体" w:cs="宋体"/>
                <w:kern w:val="0"/>
                <w:szCs w:val="21"/>
                <w:highlight w:val="none"/>
                <w:lang w:val="zh-CN" w:bidi="zh-CN"/>
              </w:rPr>
              <w:t>个月</w:t>
            </w:r>
          </w:p>
        </w:tc>
        <w:tc>
          <w:tcPr>
            <w:tcW w:w="1650"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重庆果园港/材料供应商</w:t>
            </w:r>
          </w:p>
        </w:tc>
        <w:tc>
          <w:tcPr>
            <w:tcW w:w="1105"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cs="宋体"/>
                <w:kern w:val="0"/>
                <w:szCs w:val="21"/>
                <w:highlight w:val="none"/>
                <w:lang w:val="zh-CN" w:bidi="zh-CN"/>
              </w:rPr>
              <w:t>水运</w:t>
            </w:r>
          </w:p>
        </w:tc>
        <w:tc>
          <w:tcPr>
            <w:tcW w:w="1519" w:type="dxa"/>
            <w:vAlign w:val="center"/>
          </w:tcPr>
          <w:p>
            <w:pPr>
              <w:autoSpaceDE w:val="0"/>
              <w:autoSpaceDN w:val="0"/>
              <w:jc w:val="center"/>
              <w:rPr>
                <w:rFonts w:ascii="宋体" w:hAnsi="宋体" w:cs="宋体"/>
                <w:kern w:val="0"/>
                <w:szCs w:val="21"/>
                <w:highlight w:val="none"/>
                <w:lang w:val="zh-CN" w:bidi="zh-CN"/>
              </w:rPr>
            </w:pPr>
            <w:r>
              <w:rPr>
                <w:rFonts w:hint="eastAsia" w:ascii="宋体" w:hAnsi="宋体"/>
                <w:szCs w:val="21"/>
                <w:highlight w:val="none"/>
              </w:rPr>
              <w:t>雷波糖房村码头/采购人</w:t>
            </w:r>
          </w:p>
        </w:tc>
      </w:tr>
    </w:tbl>
    <w:p>
      <w:pPr>
        <w:autoSpaceDE w:val="0"/>
        <w:autoSpaceDN w:val="0"/>
        <w:spacing w:line="360" w:lineRule="auto"/>
        <w:ind w:firstLine="420" w:firstLineChars="200"/>
        <w:jc w:val="left"/>
        <w:rPr>
          <w:rFonts w:ascii="宋体" w:hAnsi="宋体" w:cs="宋体"/>
          <w:b/>
          <w:kern w:val="0"/>
          <w:szCs w:val="21"/>
          <w:highlight w:val="none"/>
          <w:lang w:val="zh-CN" w:bidi="zh-CN"/>
        </w:rPr>
      </w:pPr>
      <w:r>
        <w:rPr>
          <w:rFonts w:hint="eastAsia" w:ascii="宋体" w:hAnsi="宋体" w:cs="宋体"/>
          <w:kern w:val="0"/>
          <w:szCs w:val="21"/>
          <w:highlight w:val="none"/>
          <w:lang w:val="zh-CN" w:bidi="zh-CN"/>
        </w:rPr>
        <w:t>预计每批交</w:t>
      </w:r>
      <w:r>
        <w:rPr>
          <w:rFonts w:ascii="宋体" w:hAnsi="宋体" w:cs="宋体"/>
          <w:kern w:val="0"/>
          <w:szCs w:val="21"/>
          <w:highlight w:val="none"/>
          <w:lang w:val="zh-CN" w:bidi="zh-CN"/>
        </w:rPr>
        <w:t>货时间</w:t>
      </w:r>
      <w:r>
        <w:rPr>
          <w:rFonts w:hint="eastAsia" w:ascii="宋体" w:hAnsi="宋体" w:cs="宋体"/>
          <w:kern w:val="0"/>
          <w:szCs w:val="21"/>
          <w:highlight w:val="none"/>
          <w:lang w:val="zh-CN" w:bidi="zh-CN"/>
        </w:rPr>
        <w:t>在合同签订后,合同实施期间由采购人具体通知。运输服务期限</w:t>
      </w:r>
      <w:r>
        <w:rPr>
          <w:rFonts w:ascii="宋体" w:hAnsi="宋体" w:cs="宋体"/>
          <w:kern w:val="0"/>
          <w:szCs w:val="21"/>
          <w:highlight w:val="none"/>
          <w:lang w:val="zh-CN" w:bidi="zh-CN"/>
        </w:rPr>
        <w:t>从首次</w:t>
      </w:r>
      <w:r>
        <w:rPr>
          <w:rFonts w:hint="eastAsia" w:ascii="宋体" w:hAnsi="宋体" w:cs="宋体"/>
          <w:kern w:val="0"/>
          <w:szCs w:val="21"/>
          <w:highlight w:val="none"/>
          <w:lang w:val="zh-CN" w:bidi="zh-CN"/>
        </w:rPr>
        <w:t>接货时间</w:t>
      </w:r>
      <w:r>
        <w:rPr>
          <w:rFonts w:ascii="宋体" w:hAnsi="宋体" w:cs="宋体"/>
          <w:kern w:val="0"/>
          <w:szCs w:val="21"/>
          <w:highlight w:val="none"/>
          <w:lang w:val="zh-CN" w:bidi="zh-CN"/>
        </w:rPr>
        <w:t>起算24</w:t>
      </w:r>
      <w:r>
        <w:rPr>
          <w:rFonts w:hint="eastAsia" w:ascii="宋体" w:hAnsi="宋体" w:cs="宋体"/>
          <w:kern w:val="0"/>
          <w:szCs w:val="21"/>
          <w:highlight w:val="none"/>
          <w:lang w:val="zh-CN" w:bidi="zh-CN"/>
        </w:rPr>
        <w:t>个月</w:t>
      </w:r>
      <w:r>
        <w:rPr>
          <w:rFonts w:ascii="宋体" w:hAnsi="宋体" w:cs="宋体"/>
          <w:kern w:val="0"/>
          <w:szCs w:val="21"/>
          <w:highlight w:val="none"/>
          <w:lang w:val="zh-CN" w:bidi="zh-CN"/>
        </w:rPr>
        <w:t>。</w:t>
      </w:r>
    </w:p>
    <w:p>
      <w:pPr>
        <w:autoSpaceDE w:val="0"/>
        <w:autoSpaceDN w:val="0"/>
        <w:spacing w:line="360" w:lineRule="auto"/>
        <w:jc w:val="left"/>
        <w:rPr>
          <w:rFonts w:ascii="微软雅黑" w:hAnsi="微软雅黑" w:eastAsia="微软雅黑" w:cs="宋体"/>
          <w:b/>
          <w:kern w:val="0"/>
          <w:sz w:val="24"/>
          <w:szCs w:val="22"/>
          <w:highlight w:val="none"/>
          <w:lang w:val="zh-CN" w:bidi="zh-CN"/>
        </w:rPr>
      </w:pPr>
      <w:r>
        <w:rPr>
          <w:rFonts w:hint="eastAsia" w:ascii="微软雅黑" w:hAnsi="微软雅黑" w:eastAsia="微软雅黑" w:cs="宋体"/>
          <w:b/>
          <w:kern w:val="0"/>
          <w:sz w:val="24"/>
          <w:szCs w:val="22"/>
          <w:highlight w:val="none"/>
          <w:lang w:val="zh-CN" w:bidi="zh-CN"/>
        </w:rPr>
        <w:t>3.</w:t>
      </w:r>
      <w:r>
        <w:rPr>
          <w:rFonts w:ascii="微软雅黑" w:hAnsi="微软雅黑" w:eastAsia="微软雅黑" w:cs="宋体"/>
          <w:b/>
          <w:kern w:val="0"/>
          <w:sz w:val="24"/>
          <w:szCs w:val="22"/>
          <w:highlight w:val="none"/>
          <w:lang w:val="zh-CN" w:bidi="zh-CN"/>
        </w:rPr>
        <w:t xml:space="preserve"> </w:t>
      </w:r>
      <w:r>
        <w:rPr>
          <w:rFonts w:hint="eastAsia" w:ascii="微软雅黑" w:hAnsi="微软雅黑" w:eastAsia="微软雅黑" w:cs="宋体"/>
          <w:b/>
          <w:kern w:val="0"/>
          <w:sz w:val="24"/>
          <w:szCs w:val="22"/>
          <w:highlight w:val="none"/>
          <w:lang w:val="zh-CN" w:bidi="zh-CN"/>
        </w:rPr>
        <w:t>参加谈判的潜在投标人资格要求</w:t>
      </w:r>
    </w:p>
    <w:p>
      <w:pPr>
        <w:autoSpaceDE w:val="0"/>
        <w:autoSpaceDN w:val="0"/>
        <w:spacing w:line="360" w:lineRule="auto"/>
        <w:ind w:firstLine="422" w:firstLineChars="200"/>
        <w:jc w:val="left"/>
        <w:rPr>
          <w:rFonts w:ascii="宋体" w:hAnsi="宋体" w:cs="宋体"/>
          <w:kern w:val="0"/>
          <w:szCs w:val="21"/>
          <w:highlight w:val="none"/>
          <w:lang w:val="zh-CN" w:bidi="zh-CN"/>
        </w:rPr>
      </w:pPr>
      <w:r>
        <w:rPr>
          <w:rFonts w:hint="eastAsia" w:ascii="宋体" w:hAnsi="宋体" w:cs="宋体"/>
          <w:b/>
          <w:kern w:val="0"/>
          <w:szCs w:val="21"/>
          <w:highlight w:val="none"/>
          <w:lang w:val="zh-CN" w:bidi="zh-CN"/>
        </w:rPr>
        <w:t>3.1</w:t>
      </w:r>
      <w:r>
        <w:rPr>
          <w:rFonts w:ascii="宋体" w:hAnsi="宋体" w:cs="宋体"/>
          <w:b/>
          <w:kern w:val="0"/>
          <w:szCs w:val="21"/>
          <w:highlight w:val="none"/>
          <w:lang w:val="zh-CN" w:bidi="zh-CN"/>
        </w:rPr>
        <w:t xml:space="preserve"> </w:t>
      </w:r>
      <w:r>
        <w:rPr>
          <w:rFonts w:hint="eastAsia" w:ascii="宋体" w:hAnsi="宋体" w:cs="宋体"/>
          <w:b/>
          <w:kern w:val="0"/>
          <w:szCs w:val="21"/>
          <w:highlight w:val="none"/>
          <w:lang w:val="zh-CN" w:bidi="zh-CN"/>
        </w:rPr>
        <w:t>投标人应具有的资质条件</w:t>
      </w:r>
    </w:p>
    <w:p>
      <w:pPr>
        <w:autoSpaceDE w:val="0"/>
        <w:autoSpaceDN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3.1.1</w:t>
      </w:r>
      <w:r>
        <w:rPr>
          <w:rFonts w:ascii="宋体" w:hAnsi="宋体" w:cs="宋体"/>
          <w:kern w:val="0"/>
          <w:szCs w:val="21"/>
          <w:highlight w:val="none"/>
          <w:lang w:val="zh-CN" w:bidi="zh-CN"/>
        </w:rPr>
        <w:t xml:space="preserve"> </w:t>
      </w:r>
      <w:r>
        <w:rPr>
          <w:rFonts w:hint="eastAsia" w:ascii="宋体" w:hAnsi="宋体" w:cs="宋体"/>
          <w:kern w:val="0"/>
          <w:szCs w:val="21"/>
          <w:highlight w:val="none"/>
          <w:lang w:val="zh-CN" w:bidi="zh-CN"/>
        </w:rPr>
        <w:t>资质要求：</w:t>
      </w:r>
    </w:p>
    <w:p>
      <w:pPr>
        <w:autoSpaceDE w:val="0"/>
        <w:autoSpaceDN w:val="0"/>
        <w:adjustRightInd w:val="0"/>
        <w:snapToGrid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（1）为中华人民共和国</w:t>
      </w:r>
      <w:r>
        <w:rPr>
          <w:rFonts w:ascii="宋体" w:hAnsi="宋体" w:cs="宋体"/>
          <w:kern w:val="0"/>
          <w:szCs w:val="21"/>
          <w:highlight w:val="none"/>
          <w:lang w:val="zh-CN" w:bidi="zh-CN"/>
        </w:rPr>
        <w:t>境内注册的具有</w:t>
      </w:r>
      <w:r>
        <w:rPr>
          <w:rFonts w:hint="eastAsia" w:ascii="宋体" w:hAnsi="宋体" w:cs="宋体"/>
          <w:kern w:val="0"/>
          <w:szCs w:val="21"/>
          <w:highlight w:val="none"/>
          <w:lang w:val="zh-CN" w:bidi="zh-CN"/>
        </w:rPr>
        <w:t>独立法人资格，持有有效营业执照、基本账户开户许可证或基本存款账户信息表的承运商。投标人</w:t>
      </w:r>
      <w:r>
        <w:rPr>
          <w:rFonts w:ascii="宋体" w:hAnsi="宋体" w:cs="宋体"/>
          <w:kern w:val="0"/>
          <w:szCs w:val="21"/>
          <w:highlight w:val="none"/>
          <w:lang w:val="zh-CN" w:bidi="zh-CN"/>
        </w:rPr>
        <w:t>注册资本金2000万元及以上。</w:t>
      </w:r>
    </w:p>
    <w:p>
      <w:pPr>
        <w:autoSpaceDE w:val="0"/>
        <w:autoSpaceDN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2</w:t>
      </w:r>
      <w:r>
        <w:rPr>
          <w:rFonts w:hint="eastAsia" w:ascii="宋体" w:hAnsi="宋体" w:cs="宋体"/>
          <w:kern w:val="0"/>
          <w:szCs w:val="21"/>
          <w:highlight w:val="none"/>
          <w:lang w:val="zh-CN" w:bidi="zh-CN"/>
        </w:rPr>
        <w:t>）具备有效期内的《国内水路运输（经营）许可证》，其经营区域须包括长江上游干线及支线的货物运输。</w:t>
      </w:r>
    </w:p>
    <w:p>
      <w:pPr>
        <w:autoSpaceDE w:val="0"/>
        <w:autoSpaceDN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3.1.2</w:t>
      </w:r>
      <w:r>
        <w:rPr>
          <w:rFonts w:ascii="宋体" w:hAnsi="宋体" w:cs="宋体"/>
          <w:kern w:val="0"/>
          <w:szCs w:val="21"/>
          <w:highlight w:val="none"/>
          <w:lang w:val="zh-CN" w:bidi="zh-CN"/>
        </w:rPr>
        <w:t xml:space="preserve"> </w:t>
      </w:r>
      <w:r>
        <w:rPr>
          <w:rFonts w:hint="eastAsia" w:ascii="宋体" w:hAnsi="宋体" w:cs="宋体"/>
          <w:kern w:val="0"/>
          <w:szCs w:val="21"/>
          <w:highlight w:val="none"/>
          <w:lang w:val="zh-CN" w:bidi="zh-CN"/>
        </w:rPr>
        <w:t>业绩要求：</w:t>
      </w:r>
    </w:p>
    <w:p>
      <w:pPr>
        <w:autoSpaceDE w:val="0"/>
        <w:autoSpaceDN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投标人近</w:t>
      </w:r>
      <w:r>
        <w:rPr>
          <w:rFonts w:ascii="宋体" w:hAnsi="宋体" w:cs="宋体"/>
          <w:kern w:val="0"/>
          <w:szCs w:val="21"/>
          <w:highlight w:val="none"/>
          <w:lang w:val="zh-CN" w:bidi="zh-CN"/>
        </w:rPr>
        <w:t xml:space="preserve"> 3 </w:t>
      </w:r>
      <w:r>
        <w:rPr>
          <w:rFonts w:hint="eastAsia" w:ascii="宋体" w:hAnsi="宋体" w:cs="宋体"/>
          <w:kern w:val="0"/>
          <w:szCs w:val="21"/>
          <w:highlight w:val="none"/>
          <w:lang w:val="zh-CN" w:bidi="zh-CN"/>
        </w:rPr>
        <w:t>年（自</w:t>
      </w:r>
      <w:r>
        <w:rPr>
          <w:rFonts w:ascii="宋体" w:hAnsi="宋体" w:cs="宋体"/>
          <w:kern w:val="0"/>
          <w:szCs w:val="21"/>
          <w:highlight w:val="none"/>
          <w:lang w:val="zh-CN" w:bidi="zh-CN"/>
        </w:rPr>
        <w:t>2018</w:t>
      </w:r>
      <w:r>
        <w:rPr>
          <w:rFonts w:hint="eastAsia" w:ascii="宋体" w:hAnsi="宋体" w:cs="宋体"/>
          <w:kern w:val="0"/>
          <w:szCs w:val="21"/>
          <w:highlight w:val="none"/>
          <w:lang w:val="zh-CN" w:bidi="zh-CN"/>
        </w:rPr>
        <w:t>年</w:t>
      </w:r>
      <w:r>
        <w:rPr>
          <w:rFonts w:ascii="宋体" w:hAnsi="宋体" w:cs="宋体"/>
          <w:kern w:val="0"/>
          <w:szCs w:val="21"/>
          <w:highlight w:val="none"/>
          <w:lang w:val="zh-CN" w:bidi="zh-CN"/>
        </w:rPr>
        <w:t>1月1日起，以</w:t>
      </w:r>
      <w:r>
        <w:rPr>
          <w:rFonts w:hint="eastAsia" w:ascii="宋体" w:hAnsi="宋体" w:cs="宋体"/>
          <w:kern w:val="0"/>
          <w:szCs w:val="21"/>
          <w:highlight w:val="none"/>
          <w:lang w:val="zh-CN" w:bidi="zh-CN"/>
        </w:rPr>
        <w:t>签订</w:t>
      </w:r>
      <w:r>
        <w:rPr>
          <w:rFonts w:ascii="宋体" w:hAnsi="宋体" w:cs="宋体"/>
          <w:kern w:val="0"/>
          <w:szCs w:val="21"/>
          <w:highlight w:val="none"/>
          <w:lang w:val="zh-CN" w:bidi="zh-CN"/>
        </w:rPr>
        <w:t>合同时间</w:t>
      </w:r>
      <w:r>
        <w:rPr>
          <w:rFonts w:hint="eastAsia" w:ascii="宋体" w:hAnsi="宋体" w:cs="宋体"/>
          <w:kern w:val="0"/>
          <w:szCs w:val="21"/>
          <w:highlight w:val="none"/>
          <w:lang w:val="zh-CN" w:bidi="zh-CN"/>
        </w:rPr>
        <w:t>为准）至少</w:t>
      </w:r>
      <w:r>
        <w:rPr>
          <w:rFonts w:ascii="宋体" w:hAnsi="宋体" w:cs="宋体"/>
          <w:kern w:val="0"/>
          <w:szCs w:val="21"/>
          <w:highlight w:val="none"/>
          <w:lang w:val="zh-CN" w:bidi="zh-CN"/>
        </w:rPr>
        <w:t>有1年运输量≥20</w:t>
      </w:r>
      <w:r>
        <w:rPr>
          <w:rFonts w:hint="eastAsia" w:ascii="宋体" w:hAnsi="宋体" w:cs="宋体"/>
          <w:kern w:val="0"/>
          <w:szCs w:val="21"/>
          <w:highlight w:val="none"/>
          <w:lang w:val="zh-CN" w:bidi="zh-CN"/>
        </w:rPr>
        <w:t>万吨位</w:t>
      </w:r>
    </w:p>
    <w:p>
      <w:pPr>
        <w:autoSpaceDE w:val="0"/>
        <w:autoSpaceDN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3.1.4信誉要求（（1）～（</w:t>
      </w:r>
      <w:r>
        <w:rPr>
          <w:rFonts w:ascii="宋体" w:hAnsi="宋体" w:cs="宋体"/>
          <w:kern w:val="0"/>
          <w:szCs w:val="21"/>
          <w:highlight w:val="none"/>
          <w:lang w:val="zh-CN" w:bidi="zh-CN"/>
        </w:rPr>
        <w:t>4</w:t>
      </w:r>
      <w:r>
        <w:rPr>
          <w:rFonts w:hint="eastAsia" w:ascii="宋体" w:hAnsi="宋体" w:cs="宋体"/>
          <w:kern w:val="0"/>
          <w:szCs w:val="21"/>
          <w:highlight w:val="none"/>
          <w:lang w:val="zh-CN" w:bidi="zh-CN"/>
        </w:rPr>
        <w:t>）项以招标人核查的投标截止日投标人信息内容为准）：</w:t>
      </w:r>
    </w:p>
    <w:p>
      <w:pPr>
        <w:autoSpaceDE w:val="0"/>
        <w:autoSpaceDN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（1）近三年内（201</w:t>
      </w:r>
      <w:r>
        <w:rPr>
          <w:rFonts w:ascii="宋体" w:hAnsi="宋体" w:cs="宋体"/>
          <w:kern w:val="0"/>
          <w:szCs w:val="21"/>
          <w:highlight w:val="none"/>
          <w:lang w:val="zh-CN" w:bidi="zh-CN"/>
        </w:rPr>
        <w:t>8</w:t>
      </w:r>
      <w:r>
        <w:rPr>
          <w:rFonts w:hint="eastAsia" w:ascii="宋体" w:hAnsi="宋体" w:cs="宋体"/>
          <w:kern w:val="0"/>
          <w:szCs w:val="21"/>
          <w:highlight w:val="none"/>
          <w:lang w:val="zh-CN" w:bidi="zh-CN"/>
        </w:rPr>
        <w:t>年1月1日起至本项目投标文件递交之日止）被四川省交通运输厅明令禁止投标且在行政处罚期内</w:t>
      </w:r>
      <w:bookmarkStart w:id="18" w:name="_Hlk49005921"/>
      <w:r>
        <w:rPr>
          <w:rFonts w:hint="eastAsia" w:ascii="宋体" w:hAnsi="宋体" w:cs="宋体"/>
          <w:kern w:val="0"/>
          <w:szCs w:val="21"/>
          <w:highlight w:val="none"/>
          <w:lang w:val="zh-CN" w:bidi="zh-CN"/>
        </w:rPr>
        <w:t>的投标人（以四川省交通运输厅网站（http://jtt.sc.gov.cn）上公布的内容为准）</w:t>
      </w:r>
      <w:bookmarkEnd w:id="18"/>
      <w:r>
        <w:rPr>
          <w:rFonts w:hint="eastAsia" w:ascii="宋体" w:hAnsi="宋体" w:cs="宋体"/>
          <w:kern w:val="0"/>
          <w:szCs w:val="21"/>
          <w:highlight w:val="none"/>
          <w:lang w:val="zh-CN" w:bidi="zh-CN"/>
        </w:rPr>
        <w:t>，不得参加投标。</w:t>
      </w:r>
    </w:p>
    <w:p>
      <w:pPr>
        <w:autoSpaceDE w:val="0"/>
        <w:autoSpaceDN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（2）近三年内（201</w:t>
      </w:r>
      <w:r>
        <w:rPr>
          <w:rFonts w:ascii="宋体" w:hAnsi="宋体" w:cs="宋体"/>
          <w:kern w:val="0"/>
          <w:szCs w:val="21"/>
          <w:highlight w:val="none"/>
          <w:lang w:val="zh-CN" w:bidi="zh-CN"/>
        </w:rPr>
        <w:t>8</w:t>
      </w:r>
      <w:r>
        <w:rPr>
          <w:rFonts w:hint="eastAsia" w:ascii="宋体" w:hAnsi="宋体" w:cs="宋体"/>
          <w:kern w:val="0"/>
          <w:szCs w:val="21"/>
          <w:highlight w:val="none"/>
          <w:lang w:val="zh-CN" w:bidi="zh-CN"/>
        </w:rPr>
        <w:t>年1月1日起至本项目投标文件递交之日止）在水路运输建设综合管理信息系统中列入行政处罚期内的投标人（以交通运输部网站（</w:t>
      </w:r>
      <w:r>
        <w:rPr>
          <w:rFonts w:ascii="宋体" w:hAnsi="宋体" w:cs="宋体"/>
          <w:kern w:val="0"/>
          <w:szCs w:val="21"/>
          <w:highlight w:val="none"/>
          <w:lang w:val="zh-CN" w:bidi="zh-CN"/>
        </w:rPr>
        <w:t>http://jtt.sc.gov.cn）上公布的内容为准）</w:t>
      </w:r>
      <w:r>
        <w:rPr>
          <w:rFonts w:hint="eastAsia" w:ascii="宋体" w:hAnsi="宋体" w:cs="宋体"/>
          <w:kern w:val="0"/>
          <w:szCs w:val="21"/>
          <w:highlight w:val="none"/>
          <w:lang w:val="zh-CN" w:bidi="zh-CN"/>
        </w:rPr>
        <w:t>，不得参加投标。</w:t>
      </w:r>
    </w:p>
    <w:p>
      <w:pPr>
        <w:autoSpaceDE w:val="0"/>
        <w:autoSpaceDN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（3）通过“国家企业信用信息公示系统”（http://www.gsxt.gov.cn）中查询被列为严重违法失信企业的投标人，不得参加投标。</w:t>
      </w:r>
    </w:p>
    <w:p>
      <w:pPr>
        <w:autoSpaceDE w:val="0"/>
        <w:autoSpaceDN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4</w:t>
      </w:r>
      <w:r>
        <w:rPr>
          <w:rFonts w:hint="eastAsia" w:ascii="宋体" w:hAnsi="宋体" w:cs="宋体"/>
          <w:kern w:val="0"/>
          <w:szCs w:val="21"/>
          <w:highlight w:val="none"/>
          <w:lang w:val="zh-CN" w:bidi="zh-CN"/>
        </w:rPr>
        <w:t>）通过“信用中国”网站（http://www.creditchina.gov.cn）中查询被列为失信被执行人的投标人，不得参加投标。</w:t>
      </w:r>
    </w:p>
    <w:p>
      <w:pPr>
        <w:autoSpaceDE w:val="0"/>
        <w:autoSpaceDN w:val="0"/>
        <w:spacing w:line="360" w:lineRule="auto"/>
        <w:ind w:firstLine="420" w:firstLineChars="200"/>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5</w:t>
      </w:r>
      <w:r>
        <w:rPr>
          <w:rFonts w:hint="eastAsia" w:ascii="宋体" w:hAnsi="宋体" w:cs="宋体"/>
          <w:kern w:val="0"/>
          <w:szCs w:val="21"/>
          <w:highlight w:val="none"/>
          <w:lang w:val="zh-CN" w:bidi="zh-CN"/>
        </w:rPr>
        <w:t>）近三年内（201</w:t>
      </w:r>
      <w:r>
        <w:rPr>
          <w:rFonts w:ascii="宋体" w:hAnsi="宋体" w:cs="宋体"/>
          <w:kern w:val="0"/>
          <w:szCs w:val="21"/>
          <w:highlight w:val="none"/>
          <w:lang w:val="zh-CN" w:bidi="zh-CN"/>
        </w:rPr>
        <w:t>8</w:t>
      </w:r>
      <w:r>
        <w:rPr>
          <w:rFonts w:hint="eastAsia" w:ascii="宋体" w:hAnsi="宋体" w:cs="宋体"/>
          <w:kern w:val="0"/>
          <w:szCs w:val="21"/>
          <w:highlight w:val="none"/>
          <w:lang w:val="zh-CN" w:bidi="zh-CN"/>
        </w:rPr>
        <w:t>年1月1日起至本项目投标文件递交之日止）投标人（单位）及法定代表人有被人民法院生效判决或裁定认定为行贿犯罪的，不得参加投标。</w:t>
      </w:r>
    </w:p>
    <w:p>
      <w:pPr>
        <w:autoSpaceDE w:val="0"/>
        <w:autoSpaceDN w:val="0"/>
        <w:spacing w:line="360" w:lineRule="auto"/>
        <w:ind w:firstLine="422" w:firstLineChars="200"/>
        <w:rPr>
          <w:rFonts w:ascii="宋体" w:hAnsi="宋体" w:cs="宋体"/>
          <w:kern w:val="0"/>
          <w:szCs w:val="21"/>
          <w:highlight w:val="none"/>
          <w:lang w:val="zh-CN" w:bidi="zh-CN"/>
        </w:rPr>
      </w:pPr>
      <w:r>
        <w:rPr>
          <w:rFonts w:hint="eastAsia" w:ascii="宋体" w:hAnsi="宋体" w:cs="宋体"/>
          <w:b/>
          <w:kern w:val="0"/>
          <w:szCs w:val="21"/>
          <w:highlight w:val="none"/>
          <w:lang w:val="zh-CN" w:bidi="zh-CN"/>
        </w:rPr>
        <w:t>3.2</w:t>
      </w:r>
      <w:r>
        <w:rPr>
          <w:rFonts w:ascii="宋体" w:hAnsi="宋体" w:cs="宋体"/>
          <w:b/>
          <w:kern w:val="0"/>
          <w:szCs w:val="21"/>
          <w:highlight w:val="none"/>
          <w:lang w:val="zh-CN" w:bidi="zh-CN"/>
        </w:rPr>
        <w:t xml:space="preserve"> </w:t>
      </w:r>
      <w:r>
        <w:rPr>
          <w:rFonts w:hint="eastAsia" w:ascii="宋体" w:hAnsi="宋体" w:cs="宋体"/>
          <w:b/>
          <w:kern w:val="0"/>
          <w:szCs w:val="21"/>
          <w:highlight w:val="none"/>
          <w:lang w:val="zh-CN" w:bidi="zh-CN"/>
        </w:rPr>
        <w:t>与</w:t>
      </w:r>
      <w:r>
        <w:rPr>
          <w:rFonts w:ascii="宋体" w:hAnsi="宋体" w:cs="宋体"/>
          <w:b/>
          <w:kern w:val="0"/>
          <w:szCs w:val="21"/>
          <w:highlight w:val="none"/>
          <w:lang w:val="zh-CN" w:bidi="zh-CN"/>
        </w:rPr>
        <w:t>招标人存在利害关系可能影响招标公正性的单位，不得参加投标</w:t>
      </w:r>
      <w:r>
        <w:rPr>
          <w:rFonts w:hint="eastAsia" w:ascii="宋体" w:hAnsi="宋体" w:cs="宋体"/>
          <w:b/>
          <w:kern w:val="0"/>
          <w:szCs w:val="21"/>
          <w:highlight w:val="none"/>
          <w:lang w:val="zh-CN" w:bidi="zh-CN"/>
        </w:rPr>
        <w:t>。</w:t>
      </w:r>
      <w:r>
        <w:rPr>
          <w:rFonts w:hint="eastAsia" w:ascii="宋体" w:hAnsi="宋体" w:cs="宋体"/>
          <w:kern w:val="0"/>
          <w:szCs w:val="21"/>
          <w:highlight w:val="none"/>
          <w:lang w:val="zh-CN" w:bidi="zh-CN"/>
        </w:rPr>
        <w:t>单位负责人为同一人或者存在控股、管理关系的不同单位，不得参加同一标段投标，否则，相关投标均无效。</w:t>
      </w:r>
    </w:p>
    <w:p>
      <w:pPr>
        <w:autoSpaceDE w:val="0"/>
        <w:autoSpaceDN w:val="0"/>
        <w:spacing w:line="360" w:lineRule="auto"/>
        <w:ind w:firstLine="422" w:firstLineChars="200"/>
        <w:rPr>
          <w:rFonts w:ascii="宋体" w:hAnsi="宋体"/>
          <w:color w:val="000000"/>
          <w:szCs w:val="21"/>
          <w:highlight w:val="none"/>
        </w:rPr>
      </w:pPr>
      <w:r>
        <w:rPr>
          <w:rFonts w:hint="eastAsia" w:ascii="宋体" w:hAnsi="宋体" w:cs="宋体"/>
          <w:b/>
          <w:kern w:val="0"/>
          <w:szCs w:val="21"/>
          <w:highlight w:val="none"/>
          <w:lang w:val="zh-CN" w:bidi="zh-CN"/>
        </w:rPr>
        <w:t>3.3</w:t>
      </w:r>
      <w:r>
        <w:rPr>
          <w:rFonts w:ascii="宋体" w:hAnsi="宋体" w:cs="宋体"/>
          <w:b/>
          <w:kern w:val="0"/>
          <w:szCs w:val="21"/>
          <w:highlight w:val="none"/>
          <w:lang w:val="zh-CN" w:bidi="zh-CN"/>
        </w:rPr>
        <w:t xml:space="preserve"> </w:t>
      </w:r>
      <w:r>
        <w:rPr>
          <w:rFonts w:hint="eastAsia" w:ascii="宋体" w:hAnsi="宋体" w:cs="宋体"/>
          <w:kern w:val="0"/>
          <w:szCs w:val="21"/>
          <w:highlight w:val="none"/>
          <w:lang w:val="zh-CN" w:bidi="zh-CN"/>
        </w:rPr>
        <w:t>本次招标不接受联合体投标。</w:t>
      </w:r>
    </w:p>
    <w:p>
      <w:pPr>
        <w:autoSpaceDE w:val="0"/>
        <w:autoSpaceDN w:val="0"/>
        <w:spacing w:line="360" w:lineRule="auto"/>
        <w:jc w:val="left"/>
        <w:rPr>
          <w:rFonts w:ascii="微软雅黑" w:hAnsi="微软雅黑" w:eastAsia="微软雅黑" w:cs="宋体"/>
          <w:b/>
          <w:kern w:val="0"/>
          <w:sz w:val="24"/>
          <w:szCs w:val="22"/>
          <w:highlight w:val="none"/>
          <w:lang w:val="zh-CN" w:bidi="zh-CN"/>
        </w:rPr>
      </w:pPr>
      <w:r>
        <w:rPr>
          <w:rFonts w:hint="eastAsia" w:ascii="微软雅黑" w:hAnsi="微软雅黑" w:eastAsia="微软雅黑" w:cs="宋体"/>
          <w:b/>
          <w:kern w:val="0"/>
          <w:sz w:val="24"/>
          <w:szCs w:val="22"/>
          <w:highlight w:val="none"/>
          <w:lang w:val="zh-CN" w:bidi="zh-CN"/>
        </w:rPr>
        <w:t>4.</w:t>
      </w:r>
      <w:r>
        <w:rPr>
          <w:rFonts w:ascii="微软雅黑" w:hAnsi="微软雅黑" w:eastAsia="微软雅黑" w:cs="宋体"/>
          <w:b/>
          <w:kern w:val="0"/>
          <w:sz w:val="24"/>
          <w:szCs w:val="22"/>
          <w:highlight w:val="none"/>
          <w:lang w:val="zh-CN" w:bidi="zh-CN"/>
        </w:rPr>
        <w:t xml:space="preserve"> </w:t>
      </w:r>
      <w:r>
        <w:rPr>
          <w:rFonts w:hint="eastAsia" w:ascii="微软雅黑" w:hAnsi="微软雅黑" w:eastAsia="微软雅黑" w:cs="宋体"/>
          <w:b/>
          <w:kern w:val="0"/>
          <w:sz w:val="24"/>
          <w:szCs w:val="22"/>
          <w:highlight w:val="none"/>
          <w:lang w:val="zh-CN" w:bidi="zh-CN"/>
        </w:rPr>
        <w:t>竞争性谈判文件的获取</w:t>
      </w:r>
    </w:p>
    <w:p>
      <w:pPr>
        <w:autoSpaceDE w:val="0"/>
        <w:autoSpaceDN w:val="0"/>
        <w:adjustRightInd w:val="0"/>
        <w:snapToGrid w:val="0"/>
        <w:spacing w:line="360" w:lineRule="auto"/>
        <w:ind w:firstLine="422" w:firstLineChars="200"/>
        <w:jc w:val="left"/>
        <w:rPr>
          <w:rFonts w:ascii="宋体" w:hAnsi="宋体" w:cs="宋体"/>
          <w:kern w:val="0"/>
          <w:szCs w:val="21"/>
          <w:highlight w:val="none"/>
          <w:lang w:val="zh-CN" w:bidi="zh-CN"/>
        </w:rPr>
      </w:pPr>
      <w:r>
        <w:rPr>
          <w:rFonts w:ascii="宋体" w:hAnsi="宋体" w:cs="宋体"/>
          <w:b/>
          <w:kern w:val="0"/>
          <w:szCs w:val="21"/>
          <w:highlight w:val="none"/>
          <w:lang w:val="zh-CN" w:bidi="zh-CN"/>
        </w:rPr>
        <w:t>4</w:t>
      </w:r>
      <w:r>
        <w:rPr>
          <w:rFonts w:hint="eastAsia" w:ascii="宋体" w:hAnsi="宋体" w:cs="宋体"/>
          <w:b/>
          <w:kern w:val="0"/>
          <w:szCs w:val="21"/>
          <w:highlight w:val="none"/>
          <w:lang w:val="zh-CN" w:bidi="zh-CN"/>
        </w:rPr>
        <w:t>.1</w:t>
      </w:r>
      <w:r>
        <w:rPr>
          <w:rFonts w:ascii="宋体" w:hAnsi="宋体" w:cs="宋体"/>
          <w:b/>
          <w:kern w:val="0"/>
          <w:szCs w:val="21"/>
          <w:highlight w:val="none"/>
          <w:lang w:val="zh-CN" w:bidi="zh-CN"/>
        </w:rPr>
        <w:t xml:space="preserve"> </w:t>
      </w:r>
      <w:r>
        <w:rPr>
          <w:rFonts w:hint="eastAsia" w:ascii="宋体" w:hAnsi="宋体" w:cs="宋体"/>
          <w:kern w:val="0"/>
          <w:szCs w:val="21"/>
          <w:highlight w:val="none"/>
          <w:lang w:val="zh-CN" w:bidi="zh-CN"/>
        </w:rPr>
        <w:t>凡有意参加竞争性谈判的</w:t>
      </w:r>
      <w:r>
        <w:rPr>
          <w:rFonts w:ascii="宋体" w:hAnsi="宋体" w:cs="宋体"/>
          <w:kern w:val="0"/>
          <w:szCs w:val="21"/>
          <w:highlight w:val="none"/>
          <w:lang w:val="zh-CN" w:bidi="zh-CN"/>
        </w:rPr>
        <w:t>潜在投标人</w:t>
      </w:r>
      <w:r>
        <w:rPr>
          <w:rFonts w:hint="eastAsia" w:ascii="宋体" w:hAnsi="宋体" w:cs="宋体"/>
          <w:kern w:val="0"/>
          <w:szCs w:val="21"/>
          <w:highlight w:val="none"/>
          <w:lang w:val="zh-CN" w:bidi="zh-CN"/>
        </w:rPr>
        <w:t>，</w:t>
      </w:r>
      <w:r>
        <w:rPr>
          <w:rFonts w:hint="eastAsia" w:ascii="宋体" w:hAnsi="宋体" w:cs="宋体"/>
          <w:szCs w:val="21"/>
          <w:highlight w:val="none"/>
        </w:rPr>
        <w:t>须是</w:t>
      </w:r>
      <w:r>
        <w:rPr>
          <w:rFonts w:hint="eastAsia" w:ascii="宋体" w:hAnsi="宋体" w:cs="宋体"/>
          <w:kern w:val="0"/>
          <w:szCs w:val="21"/>
          <w:highlight w:val="none"/>
          <w:lang w:val="zh-CN" w:bidi="zh-CN"/>
        </w:rPr>
        <w:t>四川交投智</w:t>
      </w:r>
      <w:r>
        <w:rPr>
          <w:rFonts w:ascii="宋体" w:hAnsi="宋体" w:cs="宋体"/>
          <w:kern w:val="0"/>
          <w:szCs w:val="21"/>
          <w:highlight w:val="none"/>
          <w:lang w:val="zh-CN" w:bidi="zh-CN"/>
        </w:rPr>
        <w:t>采</w:t>
      </w:r>
      <w:r>
        <w:rPr>
          <w:rFonts w:hint="eastAsia" w:ascii="宋体" w:hAnsi="宋体" w:cs="宋体"/>
          <w:kern w:val="0"/>
          <w:szCs w:val="21"/>
          <w:highlight w:val="none"/>
          <w:lang w:val="zh-CN" w:bidi="zh-CN"/>
        </w:rPr>
        <w:t>平台（http:// scjt</w:t>
      </w:r>
      <w:r>
        <w:rPr>
          <w:rFonts w:ascii="宋体" w:hAnsi="宋体" w:cs="宋体"/>
          <w:kern w:val="0"/>
          <w:szCs w:val="21"/>
          <w:highlight w:val="none"/>
          <w:lang w:val="zh-CN" w:bidi="zh-CN"/>
        </w:rPr>
        <w:t>.pauct</w:t>
      </w:r>
      <w:r>
        <w:rPr>
          <w:rFonts w:hint="eastAsia" w:ascii="宋体" w:hAnsi="宋体" w:cs="宋体"/>
          <w:kern w:val="0"/>
          <w:szCs w:val="21"/>
          <w:highlight w:val="none"/>
          <w:lang w:val="zh-CN" w:bidi="zh-CN"/>
        </w:rPr>
        <w:t>.com/）</w:t>
      </w:r>
      <w:r>
        <w:rPr>
          <w:rFonts w:hint="eastAsia" w:ascii="宋体" w:hAnsi="宋体" w:cs="宋体"/>
          <w:szCs w:val="21"/>
          <w:highlight w:val="none"/>
        </w:rPr>
        <w:t>（以下简称“智采平台”，网址</w:t>
      </w:r>
      <w:r>
        <w:rPr>
          <w:rFonts w:hint="eastAsia" w:ascii="宋体" w:hAnsi="宋体" w:cs="宋体"/>
          <w:kern w:val="0"/>
          <w:szCs w:val="21"/>
          <w:highlight w:val="none"/>
          <w:lang w:val="zh-CN" w:bidi="zh-CN"/>
        </w:rPr>
        <w:t>http:// scjt</w:t>
      </w:r>
      <w:r>
        <w:rPr>
          <w:rFonts w:ascii="宋体" w:hAnsi="宋体" w:cs="宋体"/>
          <w:kern w:val="0"/>
          <w:szCs w:val="21"/>
          <w:highlight w:val="none"/>
          <w:lang w:val="zh-CN" w:bidi="zh-CN"/>
        </w:rPr>
        <w:t>.pauct</w:t>
      </w:r>
      <w:r>
        <w:rPr>
          <w:rFonts w:hint="eastAsia" w:ascii="宋体" w:hAnsi="宋体" w:cs="宋体"/>
          <w:kern w:val="0"/>
          <w:szCs w:val="21"/>
          <w:highlight w:val="none"/>
          <w:lang w:val="zh-CN" w:bidi="zh-CN"/>
        </w:rPr>
        <w:t>.com/</w:t>
      </w:r>
      <w:r>
        <w:rPr>
          <w:rFonts w:hint="eastAsia" w:ascii="宋体" w:hAnsi="宋体" w:cs="宋体"/>
          <w:szCs w:val="21"/>
          <w:highlight w:val="none"/>
        </w:rPr>
        <w:t>）的注册网员（</w:t>
      </w:r>
      <w:r>
        <w:rPr>
          <w:rFonts w:hint="eastAsia"/>
          <w:szCs w:val="22"/>
          <w:highlight w:val="none"/>
        </w:rPr>
        <w:t>投标人办理“注册网员”的方法见“</w:t>
      </w:r>
      <w:r>
        <w:rPr>
          <w:rFonts w:hint="eastAsia" w:ascii="宋体" w:hAnsi="宋体" w:cs="宋体"/>
          <w:szCs w:val="21"/>
          <w:highlight w:val="none"/>
        </w:rPr>
        <w:t>智采</w:t>
      </w:r>
      <w:r>
        <w:rPr>
          <w:rFonts w:hint="eastAsia"/>
          <w:szCs w:val="22"/>
          <w:highlight w:val="none"/>
        </w:rPr>
        <w:t>平台”</w:t>
      </w:r>
      <w:r>
        <w:rPr>
          <w:rFonts w:hint="eastAsia" w:ascii="宋体" w:hAnsi="宋体" w:cs="宋体"/>
          <w:szCs w:val="21"/>
          <w:highlight w:val="none"/>
        </w:rPr>
        <w:t>）</w:t>
      </w: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于</w:t>
      </w:r>
      <w:r>
        <w:rPr>
          <w:rFonts w:hint="eastAsia" w:ascii="宋体" w:hAnsi="宋体" w:cs="宋体"/>
          <w:szCs w:val="21"/>
          <w:highlight w:val="none"/>
          <w:u w:val="single"/>
        </w:rPr>
        <w:t xml:space="preserve"> 202</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ascii="宋体" w:hAnsi="宋体" w:cs="宋体"/>
          <w:szCs w:val="21"/>
          <w:highlight w:val="none"/>
          <w:u w:val="single"/>
        </w:rPr>
        <w:t>19</w:t>
      </w:r>
      <w:r>
        <w:rPr>
          <w:rFonts w:hint="eastAsia" w:ascii="宋体" w:hAnsi="宋体" w:cs="宋体"/>
          <w:szCs w:val="21"/>
          <w:highlight w:val="none"/>
          <w:u w:val="single"/>
        </w:rPr>
        <w:t xml:space="preserve"> </w:t>
      </w:r>
      <w:r>
        <w:rPr>
          <w:rFonts w:hint="eastAsia" w:ascii="宋体" w:hAnsi="宋体" w:cs="宋体"/>
          <w:szCs w:val="21"/>
          <w:highlight w:val="none"/>
        </w:rPr>
        <w:t xml:space="preserve">日 </w:t>
      </w:r>
      <w:r>
        <w:rPr>
          <w:rFonts w:ascii="宋体" w:hAnsi="宋体" w:cs="宋体"/>
          <w:szCs w:val="21"/>
          <w:highlight w:val="none"/>
          <w:u w:val="single"/>
        </w:rPr>
        <w:t>8</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ascii="宋体" w:hAnsi="宋体" w:cs="宋体"/>
          <w:szCs w:val="21"/>
          <w:highlight w:val="none"/>
          <w:u w:val="single"/>
        </w:rPr>
        <w:t>00</w:t>
      </w:r>
      <w:r>
        <w:rPr>
          <w:rFonts w:hint="eastAsia" w:ascii="宋体" w:hAnsi="宋体" w:cs="宋体"/>
          <w:szCs w:val="21"/>
          <w:highlight w:val="none"/>
        </w:rPr>
        <w:t>分至</w:t>
      </w:r>
      <w:r>
        <w:rPr>
          <w:rFonts w:hint="eastAsia" w:ascii="宋体" w:hAnsi="宋体" w:cs="宋体"/>
          <w:szCs w:val="21"/>
          <w:highlight w:val="none"/>
          <w:u w:val="single"/>
        </w:rPr>
        <w:t>202</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ascii="宋体" w:hAnsi="宋体" w:cs="宋体"/>
          <w:szCs w:val="21"/>
          <w:highlight w:val="none"/>
          <w:u w:val="single"/>
        </w:rPr>
        <w:t xml:space="preserve"> 1</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ascii="宋体" w:hAnsi="宋体" w:cs="宋体"/>
          <w:szCs w:val="21"/>
          <w:highlight w:val="none"/>
          <w:u w:val="single"/>
        </w:rPr>
        <w:t>22</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ascii="宋体" w:hAnsi="宋体" w:cs="宋体"/>
          <w:szCs w:val="21"/>
          <w:highlight w:val="none"/>
          <w:u w:val="single"/>
        </w:rPr>
        <w:t>23</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ascii="宋体" w:hAnsi="宋体" w:cs="宋体"/>
          <w:szCs w:val="21"/>
          <w:highlight w:val="none"/>
          <w:u w:val="single"/>
        </w:rPr>
        <w:t>59</w:t>
      </w:r>
      <w:r>
        <w:rPr>
          <w:rFonts w:hint="eastAsia" w:ascii="宋体" w:hAnsi="宋体" w:cs="宋体"/>
          <w:szCs w:val="21"/>
          <w:highlight w:val="none"/>
          <w:u w:val="single"/>
        </w:rPr>
        <w:t xml:space="preserve"> </w:t>
      </w:r>
      <w:r>
        <w:rPr>
          <w:rFonts w:hint="eastAsia" w:ascii="宋体" w:hAnsi="宋体" w:cs="宋体"/>
          <w:szCs w:val="21"/>
          <w:highlight w:val="none"/>
        </w:rPr>
        <w:t>分（北京时间，下同）</w:t>
      </w:r>
      <w:r>
        <w:rPr>
          <w:rFonts w:hint="eastAsia" w:ascii="宋体" w:hAnsi="宋体" w:cs="宋体"/>
          <w:kern w:val="0"/>
          <w:szCs w:val="21"/>
          <w:highlight w:val="none"/>
          <w:lang w:val="zh-CN" w:bidi="zh-CN"/>
        </w:rPr>
        <w:t>自行在四川交投智</w:t>
      </w:r>
      <w:r>
        <w:rPr>
          <w:rFonts w:ascii="宋体" w:hAnsi="宋体" w:cs="宋体"/>
          <w:kern w:val="0"/>
          <w:szCs w:val="21"/>
          <w:highlight w:val="none"/>
          <w:lang w:val="zh-CN" w:bidi="zh-CN"/>
        </w:rPr>
        <w:t>采</w:t>
      </w:r>
      <w:r>
        <w:rPr>
          <w:rFonts w:hint="eastAsia" w:ascii="宋体" w:hAnsi="宋体" w:cs="宋体"/>
          <w:kern w:val="0"/>
          <w:szCs w:val="21"/>
          <w:highlight w:val="none"/>
          <w:lang w:val="zh-CN" w:bidi="zh-CN"/>
        </w:rPr>
        <w:t>平台（http:// scjt</w:t>
      </w:r>
      <w:r>
        <w:rPr>
          <w:rFonts w:ascii="宋体" w:hAnsi="宋体" w:cs="宋体"/>
          <w:kern w:val="0"/>
          <w:szCs w:val="21"/>
          <w:highlight w:val="none"/>
          <w:lang w:val="zh-CN" w:bidi="zh-CN"/>
        </w:rPr>
        <w:t>.pauct</w:t>
      </w:r>
      <w:r>
        <w:rPr>
          <w:rFonts w:hint="eastAsia" w:ascii="宋体" w:hAnsi="宋体" w:cs="宋体"/>
          <w:kern w:val="0"/>
          <w:szCs w:val="21"/>
          <w:highlight w:val="none"/>
          <w:lang w:val="zh-CN" w:bidi="zh-CN"/>
        </w:rPr>
        <w:t>.com/）以及四川交通投资集团有限责任公司(http://www.scjtgroup.com)和四川交投物流有限公司网站（http://www.scjt-wl.com/）免费匿名下载竞争性谈判文件。</w:t>
      </w:r>
    </w:p>
    <w:p>
      <w:pPr>
        <w:autoSpaceDE w:val="0"/>
        <w:autoSpaceDN w:val="0"/>
        <w:adjustRightInd w:val="0"/>
        <w:snapToGrid w:val="0"/>
        <w:spacing w:line="360" w:lineRule="auto"/>
        <w:ind w:firstLine="422" w:firstLineChars="200"/>
        <w:rPr>
          <w:rFonts w:ascii="宋体" w:hAnsi="宋体"/>
          <w:color w:val="000000"/>
          <w:szCs w:val="21"/>
          <w:highlight w:val="none"/>
          <w:lang w:val="zh-CN"/>
        </w:rPr>
      </w:pPr>
      <w:r>
        <w:rPr>
          <w:rFonts w:ascii="宋体" w:hAnsi="宋体" w:cs="宋体"/>
          <w:b/>
          <w:kern w:val="0"/>
          <w:szCs w:val="21"/>
          <w:highlight w:val="none"/>
          <w:lang w:val="zh-CN" w:bidi="zh-CN"/>
        </w:rPr>
        <w:t>4</w:t>
      </w:r>
      <w:r>
        <w:rPr>
          <w:rFonts w:hint="eastAsia" w:ascii="宋体" w:hAnsi="宋体" w:cs="宋体"/>
          <w:b/>
          <w:kern w:val="0"/>
          <w:szCs w:val="21"/>
          <w:highlight w:val="none"/>
          <w:lang w:val="zh-CN" w:bidi="zh-CN"/>
        </w:rPr>
        <w:t>.2</w:t>
      </w:r>
      <w:r>
        <w:rPr>
          <w:rFonts w:ascii="宋体" w:hAnsi="宋体" w:cs="宋体"/>
          <w:b/>
          <w:kern w:val="0"/>
          <w:szCs w:val="21"/>
          <w:highlight w:val="none"/>
          <w:lang w:val="zh-CN" w:bidi="zh-CN"/>
        </w:rPr>
        <w:t xml:space="preserve"> </w:t>
      </w:r>
      <w:r>
        <w:rPr>
          <w:rFonts w:hint="eastAsia" w:ascii="宋体" w:hAnsi="宋体" w:cs="宋体"/>
          <w:kern w:val="0"/>
          <w:szCs w:val="21"/>
          <w:highlight w:val="none"/>
          <w:lang w:val="zh-CN" w:bidi="zh-CN"/>
        </w:rPr>
        <w:t>投标人在递交响应文件之前无需向招标人以任何方式提供有关投标人的任何信息和联系方式。</w:t>
      </w:r>
    </w:p>
    <w:p>
      <w:pPr>
        <w:autoSpaceDE w:val="0"/>
        <w:autoSpaceDN w:val="0"/>
        <w:spacing w:line="360" w:lineRule="auto"/>
        <w:jc w:val="left"/>
        <w:rPr>
          <w:rFonts w:ascii="微软雅黑" w:hAnsi="微软雅黑" w:eastAsia="微软雅黑" w:cs="宋体"/>
          <w:b/>
          <w:kern w:val="0"/>
          <w:sz w:val="24"/>
          <w:szCs w:val="22"/>
          <w:highlight w:val="none"/>
          <w:lang w:val="zh-CN" w:bidi="zh-CN"/>
        </w:rPr>
      </w:pPr>
      <w:r>
        <w:rPr>
          <w:rFonts w:hint="eastAsia" w:ascii="微软雅黑" w:hAnsi="微软雅黑" w:eastAsia="微软雅黑" w:cs="宋体"/>
          <w:b/>
          <w:kern w:val="0"/>
          <w:sz w:val="24"/>
          <w:szCs w:val="22"/>
          <w:highlight w:val="none"/>
          <w:lang w:val="zh-CN" w:bidi="zh-CN"/>
        </w:rPr>
        <w:t>5.</w:t>
      </w:r>
      <w:r>
        <w:rPr>
          <w:rFonts w:ascii="微软雅黑" w:hAnsi="微软雅黑" w:eastAsia="微软雅黑" w:cs="宋体"/>
          <w:b/>
          <w:kern w:val="0"/>
          <w:sz w:val="24"/>
          <w:szCs w:val="22"/>
          <w:highlight w:val="none"/>
          <w:lang w:val="zh-CN" w:bidi="zh-CN"/>
        </w:rPr>
        <w:t xml:space="preserve"> </w:t>
      </w:r>
      <w:r>
        <w:rPr>
          <w:rFonts w:hint="eastAsia" w:ascii="微软雅黑" w:hAnsi="微软雅黑" w:eastAsia="微软雅黑" w:cs="宋体"/>
          <w:b/>
          <w:kern w:val="0"/>
          <w:sz w:val="24"/>
          <w:szCs w:val="22"/>
          <w:highlight w:val="none"/>
          <w:lang w:val="zh-CN" w:bidi="zh-CN"/>
        </w:rPr>
        <w:t>响应文件递交</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（1）</w:t>
      </w:r>
      <w:r>
        <w:rPr>
          <w:rFonts w:hint="eastAsia" w:ascii="宋体" w:hAnsi="宋体" w:cs="宋体"/>
          <w:szCs w:val="21"/>
          <w:highlight w:val="none"/>
        </w:rPr>
        <w:t>响应文件递交的截止时间为</w:t>
      </w:r>
      <w:r>
        <w:rPr>
          <w:rFonts w:hint="eastAsia" w:ascii="宋体" w:hAnsi="宋体" w:cs="宋体"/>
          <w:szCs w:val="21"/>
          <w:highlight w:val="none"/>
          <w:u w:val="single"/>
        </w:rPr>
        <w:t xml:space="preserve">  202</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ascii="宋体" w:hAnsi="宋体" w:cs="宋体"/>
          <w:szCs w:val="21"/>
          <w:highlight w:val="none"/>
          <w:u w:val="single"/>
        </w:rPr>
        <w:t>23</w:t>
      </w:r>
      <w:r>
        <w:rPr>
          <w:rFonts w:hint="eastAsia" w:ascii="宋体" w:hAnsi="宋体" w:cs="宋体"/>
          <w:szCs w:val="21"/>
          <w:highlight w:val="none"/>
          <w:u w:val="single"/>
        </w:rPr>
        <w:t xml:space="preserve"> </w:t>
      </w:r>
      <w:r>
        <w:rPr>
          <w:rFonts w:hint="eastAsia" w:ascii="宋体" w:hAnsi="宋体" w:cs="宋体"/>
          <w:szCs w:val="21"/>
          <w:highlight w:val="none"/>
        </w:rPr>
        <w:t xml:space="preserve">日 </w:t>
      </w:r>
      <w:r>
        <w:rPr>
          <w:rFonts w:ascii="宋体" w:hAnsi="宋体" w:cs="宋体"/>
          <w:szCs w:val="21"/>
          <w:highlight w:val="none"/>
          <w:u w:val="single"/>
        </w:rPr>
        <w:t xml:space="preserve">10 </w:t>
      </w:r>
      <w:r>
        <w:rPr>
          <w:rFonts w:hint="eastAsia" w:ascii="宋体" w:hAnsi="宋体" w:cs="宋体"/>
          <w:szCs w:val="21"/>
          <w:highlight w:val="none"/>
        </w:rPr>
        <w:t>时</w:t>
      </w:r>
      <w:r>
        <w:rPr>
          <w:rFonts w:ascii="宋体" w:hAnsi="宋体" w:cs="宋体"/>
          <w:szCs w:val="21"/>
          <w:highlight w:val="none"/>
          <w:u w:val="single"/>
        </w:rPr>
        <w:t xml:space="preserve">00 </w:t>
      </w:r>
      <w:r>
        <w:rPr>
          <w:rFonts w:hint="eastAsia" w:ascii="宋体" w:hAnsi="宋体" w:cs="宋体"/>
          <w:szCs w:val="21"/>
          <w:highlight w:val="none"/>
        </w:rPr>
        <w:t>分（投标截止时间，下同）</w:t>
      </w:r>
      <w:r>
        <w:rPr>
          <w:rFonts w:hint="eastAsia" w:ascii="宋体" w:hAnsi="宋体" w:cs="宋体"/>
          <w:kern w:val="0"/>
          <w:szCs w:val="21"/>
          <w:highlight w:val="none"/>
          <w:lang w:val="zh-CN" w:bidi="zh-CN"/>
        </w:rPr>
        <w:t>。</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szCs w:val="21"/>
          <w:highlight w:val="none"/>
        </w:rPr>
        <w:t>（2）</w:t>
      </w:r>
      <w:r>
        <w:rPr>
          <w:rFonts w:hint="eastAsia" w:ascii="宋体" w:hAnsi="宋体" w:cs="宋体"/>
          <w:kern w:val="0"/>
          <w:szCs w:val="21"/>
          <w:highlight w:val="none"/>
          <w:lang w:val="zh-CN" w:bidi="zh-CN"/>
        </w:rPr>
        <w:t>投标人应于202</w:t>
      </w:r>
      <w:r>
        <w:rPr>
          <w:rFonts w:ascii="宋体" w:hAnsi="宋体" w:cs="宋体"/>
          <w:kern w:val="0"/>
          <w:szCs w:val="21"/>
          <w:highlight w:val="none"/>
          <w:lang w:val="zh-CN" w:bidi="zh-CN"/>
        </w:rPr>
        <w:t>1</w:t>
      </w:r>
      <w:r>
        <w:rPr>
          <w:rFonts w:hint="eastAsia" w:ascii="宋体" w:hAnsi="宋体" w:cs="宋体"/>
          <w:kern w:val="0"/>
          <w:szCs w:val="21"/>
          <w:highlight w:val="none"/>
          <w:lang w:val="zh-CN" w:bidi="zh-CN"/>
        </w:rPr>
        <w:t>年</w:t>
      </w:r>
      <w:r>
        <w:rPr>
          <w:rFonts w:hint="eastAsia" w:ascii="宋体" w:hAnsi="宋体" w:cs="宋体"/>
          <w:szCs w:val="21"/>
          <w:highlight w:val="none"/>
          <w:u w:val="single"/>
        </w:rPr>
        <w:t xml:space="preserve"> </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ascii="宋体" w:hAnsi="宋体" w:cs="宋体"/>
          <w:szCs w:val="21"/>
          <w:highlight w:val="none"/>
          <w:u w:val="single"/>
        </w:rPr>
        <w:t>23</w:t>
      </w:r>
      <w:r>
        <w:rPr>
          <w:rFonts w:hint="eastAsia" w:ascii="宋体" w:hAnsi="宋体" w:cs="宋体"/>
          <w:szCs w:val="21"/>
          <w:highlight w:val="none"/>
          <w:u w:val="single"/>
        </w:rPr>
        <w:t xml:space="preserve"> </w:t>
      </w:r>
      <w:r>
        <w:rPr>
          <w:rFonts w:hint="eastAsia" w:ascii="宋体" w:hAnsi="宋体" w:cs="宋体"/>
          <w:szCs w:val="21"/>
          <w:highlight w:val="none"/>
        </w:rPr>
        <w:t xml:space="preserve">日 </w:t>
      </w:r>
      <w:r>
        <w:rPr>
          <w:rFonts w:hint="eastAsia" w:ascii="宋体" w:hAnsi="宋体" w:cs="宋体"/>
          <w:kern w:val="0"/>
          <w:szCs w:val="21"/>
          <w:highlight w:val="none"/>
          <w:lang w:val="zh-CN" w:bidi="zh-CN"/>
        </w:rPr>
        <w:t>8:30～</w:t>
      </w:r>
      <w:r>
        <w:rPr>
          <w:rFonts w:ascii="宋体" w:hAnsi="宋体" w:cs="宋体"/>
          <w:kern w:val="0"/>
          <w:szCs w:val="21"/>
          <w:highlight w:val="none"/>
          <w:lang w:val="zh-CN" w:bidi="zh-CN"/>
        </w:rPr>
        <w:t>10</w:t>
      </w:r>
      <w:r>
        <w:rPr>
          <w:rFonts w:hint="eastAsia" w:ascii="宋体" w:hAnsi="宋体" w:cs="宋体"/>
          <w:kern w:val="0"/>
          <w:szCs w:val="21"/>
          <w:highlight w:val="none"/>
          <w:lang w:val="zh-CN" w:bidi="zh-CN"/>
        </w:rPr>
        <w:t>:00分将响应文件</w:t>
      </w:r>
      <w:r>
        <w:rPr>
          <w:rFonts w:ascii="宋体" w:hAnsi="宋体" w:cs="宋体"/>
          <w:kern w:val="0"/>
          <w:szCs w:val="21"/>
          <w:highlight w:val="none"/>
          <w:lang w:val="zh-CN" w:bidi="zh-CN"/>
        </w:rPr>
        <w:t>（</w:t>
      </w:r>
      <w:r>
        <w:rPr>
          <w:rFonts w:hint="eastAsia" w:ascii="宋体" w:hAnsi="宋体"/>
          <w:szCs w:val="21"/>
          <w:highlight w:val="none"/>
        </w:rPr>
        <w:t>纸质文件</w:t>
      </w:r>
      <w:r>
        <w:rPr>
          <w:rFonts w:ascii="宋体" w:hAnsi="宋体" w:cs="宋体"/>
          <w:kern w:val="0"/>
          <w:szCs w:val="21"/>
          <w:highlight w:val="none"/>
          <w:lang w:val="zh-CN" w:bidi="zh-CN"/>
        </w:rPr>
        <w:t>）</w:t>
      </w:r>
      <w:r>
        <w:rPr>
          <w:rFonts w:hint="eastAsia" w:ascii="宋体" w:hAnsi="宋体"/>
          <w:szCs w:val="21"/>
          <w:highlight w:val="none"/>
        </w:rPr>
        <w:t>现场递交至</w:t>
      </w:r>
      <w:r>
        <w:rPr>
          <w:rFonts w:ascii="宋体" w:hAnsi="宋体"/>
          <w:b/>
          <w:color w:val="000000"/>
          <w:szCs w:val="21"/>
          <w:highlight w:val="none"/>
        </w:rPr>
        <w:t>四川省成都市锦江区三色路</w:t>
      </w:r>
      <w:r>
        <w:rPr>
          <w:rFonts w:hint="eastAsia" w:ascii="宋体" w:hAnsi="宋体"/>
          <w:b/>
          <w:color w:val="000000"/>
          <w:szCs w:val="21"/>
          <w:highlight w:val="none"/>
        </w:rPr>
        <w:t>1</w:t>
      </w:r>
      <w:r>
        <w:rPr>
          <w:rFonts w:ascii="宋体" w:hAnsi="宋体"/>
          <w:b/>
          <w:color w:val="000000"/>
          <w:szCs w:val="21"/>
          <w:highlight w:val="none"/>
        </w:rPr>
        <w:t>63号银海芯座</w:t>
      </w:r>
      <w:r>
        <w:rPr>
          <w:rFonts w:hint="eastAsia" w:ascii="宋体" w:hAnsi="宋体"/>
          <w:b/>
          <w:color w:val="000000"/>
          <w:szCs w:val="21"/>
          <w:highlight w:val="none"/>
        </w:rPr>
        <w:t>B座2</w:t>
      </w:r>
      <w:r>
        <w:rPr>
          <w:rFonts w:ascii="宋体" w:hAnsi="宋体"/>
          <w:b/>
          <w:color w:val="000000"/>
          <w:szCs w:val="21"/>
          <w:highlight w:val="none"/>
        </w:rPr>
        <w:t>2楼2217</w:t>
      </w:r>
      <w:r>
        <w:rPr>
          <w:rFonts w:hint="eastAsia" w:ascii="宋体" w:hAnsi="宋体"/>
          <w:b/>
          <w:color w:val="000000"/>
          <w:szCs w:val="21"/>
          <w:highlight w:val="none"/>
        </w:rPr>
        <w:t>会议室</w:t>
      </w:r>
      <w:r>
        <w:rPr>
          <w:rFonts w:hint="eastAsia" w:ascii="宋体" w:hAnsi="宋体" w:cs="宋体"/>
          <w:kern w:val="0"/>
          <w:szCs w:val="21"/>
          <w:highlight w:val="none"/>
          <w:lang w:val="zh-CN" w:bidi="zh-CN"/>
        </w:rPr>
        <w:t>。</w:t>
      </w:r>
    </w:p>
    <w:p>
      <w:pPr>
        <w:autoSpaceDE w:val="0"/>
        <w:autoSpaceDN w:val="0"/>
        <w:adjustRightInd w:val="0"/>
        <w:snapToGrid w:val="0"/>
        <w:spacing w:line="360" w:lineRule="auto"/>
        <w:ind w:firstLine="420" w:firstLineChars="200"/>
        <w:jc w:val="left"/>
        <w:rPr>
          <w:rFonts w:ascii="宋体" w:hAnsi="宋体" w:cs="宋体"/>
          <w:b/>
          <w:kern w:val="0"/>
          <w:szCs w:val="21"/>
          <w:highlight w:val="none"/>
          <w:lang w:val="zh-CN" w:bidi="zh-CN"/>
        </w:rPr>
      </w:pPr>
      <w:r>
        <w:rPr>
          <w:rFonts w:hint="eastAsia" w:ascii="宋体" w:hAnsi="宋体" w:cs="宋体"/>
          <w:kern w:val="0"/>
          <w:szCs w:val="21"/>
          <w:highlight w:val="none"/>
          <w:lang w:val="zh-CN" w:bidi="zh-CN"/>
        </w:rPr>
        <w:t>（3）投标人还</w:t>
      </w:r>
      <w:r>
        <w:rPr>
          <w:rFonts w:ascii="宋体" w:hAnsi="宋体" w:cs="宋体"/>
          <w:kern w:val="0"/>
          <w:szCs w:val="21"/>
          <w:highlight w:val="none"/>
          <w:lang w:val="zh-CN" w:bidi="zh-CN"/>
        </w:rPr>
        <w:t>应在</w:t>
      </w:r>
      <w:r>
        <w:rPr>
          <w:rFonts w:hint="eastAsia" w:ascii="宋体" w:hAnsi="宋体" w:cs="宋体"/>
          <w:szCs w:val="21"/>
          <w:highlight w:val="none"/>
        </w:rPr>
        <w:t>响应文件递交的截止时间前登录</w:t>
      </w:r>
      <w:r>
        <w:rPr>
          <w:rFonts w:hint="eastAsia" w:ascii="宋体" w:hAnsi="宋体" w:cs="宋体"/>
          <w:kern w:val="0"/>
          <w:szCs w:val="21"/>
          <w:highlight w:val="none"/>
          <w:lang w:val="zh-CN" w:bidi="zh-CN"/>
        </w:rPr>
        <w:t>四川交投智</w:t>
      </w:r>
      <w:r>
        <w:rPr>
          <w:rFonts w:ascii="宋体" w:hAnsi="宋体" w:cs="宋体"/>
          <w:kern w:val="0"/>
          <w:szCs w:val="21"/>
          <w:highlight w:val="none"/>
          <w:lang w:val="zh-CN" w:bidi="zh-CN"/>
        </w:rPr>
        <w:t>采</w:t>
      </w:r>
      <w:r>
        <w:rPr>
          <w:rFonts w:hint="eastAsia" w:ascii="宋体" w:hAnsi="宋体" w:cs="宋体"/>
          <w:kern w:val="0"/>
          <w:szCs w:val="21"/>
          <w:highlight w:val="none"/>
          <w:lang w:val="zh-CN" w:bidi="zh-CN"/>
        </w:rPr>
        <w:t>平台（http:// scjt</w:t>
      </w:r>
      <w:r>
        <w:rPr>
          <w:rFonts w:ascii="宋体" w:hAnsi="宋体" w:cs="宋体"/>
          <w:kern w:val="0"/>
          <w:szCs w:val="21"/>
          <w:highlight w:val="none"/>
          <w:lang w:val="zh-CN" w:bidi="zh-CN"/>
        </w:rPr>
        <w:t>.pauct</w:t>
      </w:r>
      <w:r>
        <w:rPr>
          <w:rFonts w:hint="eastAsia" w:ascii="宋体" w:hAnsi="宋体" w:cs="宋体"/>
          <w:kern w:val="0"/>
          <w:szCs w:val="21"/>
          <w:highlight w:val="none"/>
          <w:lang w:val="zh-CN" w:bidi="zh-CN"/>
        </w:rPr>
        <w:t>.com/）</w:t>
      </w:r>
      <w:r>
        <w:rPr>
          <w:rFonts w:hint="eastAsia" w:ascii="宋体" w:hAnsi="宋体" w:cs="宋体"/>
          <w:szCs w:val="21"/>
          <w:highlight w:val="none"/>
        </w:rPr>
        <w:t>凭注册网员名及密码将</w:t>
      </w:r>
      <w:r>
        <w:rPr>
          <w:rFonts w:hint="eastAsia" w:ascii="宋体" w:hAnsi="宋体" w:cs="宋体"/>
          <w:kern w:val="0"/>
          <w:szCs w:val="21"/>
          <w:highlight w:val="none"/>
          <w:lang w:val="zh-CN" w:bidi="zh-CN"/>
        </w:rPr>
        <w:t>电子响应文件（为</w:t>
      </w:r>
      <w:r>
        <w:rPr>
          <w:rFonts w:hint="eastAsia" w:ascii="宋体" w:hAnsi="宋体" w:cs="宋体"/>
          <w:szCs w:val="21"/>
          <w:highlight w:val="none"/>
        </w:rPr>
        <w:t>纸质版响应文件原样P</w:t>
      </w:r>
      <w:r>
        <w:rPr>
          <w:rFonts w:ascii="宋体" w:hAnsi="宋体" w:cs="宋体"/>
          <w:szCs w:val="21"/>
          <w:highlight w:val="none"/>
        </w:rPr>
        <w:t>DF</w:t>
      </w:r>
      <w:r>
        <w:rPr>
          <w:rFonts w:hint="eastAsia" w:ascii="宋体" w:hAnsi="宋体" w:cs="宋体"/>
          <w:szCs w:val="21"/>
          <w:highlight w:val="none"/>
        </w:rPr>
        <w:t>格式</w:t>
      </w:r>
      <w:r>
        <w:rPr>
          <w:rFonts w:hint="eastAsia" w:ascii="宋体" w:hAnsi="宋体" w:cs="宋体"/>
          <w:kern w:val="0"/>
          <w:szCs w:val="21"/>
          <w:highlight w:val="none"/>
          <w:lang w:val="zh-CN" w:bidi="zh-CN"/>
        </w:rPr>
        <w:t>）上传</w:t>
      </w:r>
      <w:r>
        <w:rPr>
          <w:rFonts w:hint="eastAsia" w:ascii="宋体" w:hAnsi="宋体"/>
          <w:szCs w:val="21"/>
          <w:highlight w:val="none"/>
        </w:rPr>
        <w:t>。</w:t>
      </w:r>
    </w:p>
    <w:p>
      <w:pPr>
        <w:autoSpaceDE w:val="0"/>
        <w:autoSpaceDN w:val="0"/>
        <w:adjustRightInd w:val="0"/>
        <w:snapToGrid w:val="0"/>
        <w:spacing w:line="360" w:lineRule="auto"/>
        <w:ind w:firstLine="527" w:firstLineChars="250"/>
        <w:jc w:val="left"/>
        <w:rPr>
          <w:rFonts w:ascii="宋体" w:hAnsi="宋体" w:cs="宋体"/>
          <w:b/>
          <w:kern w:val="0"/>
          <w:szCs w:val="21"/>
          <w:highlight w:val="none"/>
          <w:lang w:val="zh-CN" w:bidi="zh-CN"/>
        </w:rPr>
      </w:pPr>
      <w:r>
        <w:rPr>
          <w:rFonts w:ascii="宋体" w:hAnsi="宋体" w:cs="宋体"/>
          <w:b/>
          <w:kern w:val="0"/>
          <w:szCs w:val="21"/>
          <w:highlight w:val="none"/>
          <w:lang w:val="zh-CN" w:bidi="zh-CN"/>
        </w:rPr>
        <w:t xml:space="preserve">5.2 </w:t>
      </w:r>
      <w:r>
        <w:rPr>
          <w:rFonts w:hint="eastAsia" w:ascii="宋体" w:hAnsi="宋体" w:cs="宋体"/>
          <w:b/>
          <w:kern w:val="0"/>
          <w:szCs w:val="21"/>
          <w:highlight w:val="none"/>
          <w:lang w:val="zh-CN" w:bidi="zh-CN"/>
        </w:rPr>
        <w:t>响应文件的送达</w:t>
      </w:r>
    </w:p>
    <w:p>
      <w:pPr>
        <w:spacing w:line="360" w:lineRule="auto"/>
        <w:ind w:firstLine="420" w:firstLineChars="200"/>
        <w:rPr>
          <w:rFonts w:ascii="宋体" w:hAnsi="宋体"/>
          <w:szCs w:val="21"/>
          <w:highlight w:val="none"/>
        </w:rPr>
      </w:pPr>
      <w:r>
        <w:rPr>
          <w:rFonts w:hint="eastAsia" w:ascii="宋体" w:hAnsi="宋体"/>
          <w:szCs w:val="21"/>
          <w:highlight w:val="none"/>
        </w:rPr>
        <w:t>（1）电子响应文件逾期未完成上传的，视为无效投标。</w:t>
      </w:r>
    </w:p>
    <w:p>
      <w:pPr>
        <w:widowControl/>
        <w:snapToGrid w:val="0"/>
        <w:spacing w:line="360" w:lineRule="auto"/>
        <w:ind w:firstLine="420" w:firstLineChars="200"/>
        <w:jc w:val="left"/>
        <w:rPr>
          <w:rFonts w:ascii="宋体" w:hAnsi="宋体"/>
          <w:b/>
          <w:color w:val="000000"/>
          <w:szCs w:val="21"/>
          <w:highlight w:val="none"/>
        </w:rPr>
      </w:pPr>
      <w:r>
        <w:rPr>
          <w:rFonts w:hint="eastAsia" w:ascii="宋体" w:hAnsi="宋体"/>
          <w:szCs w:val="21"/>
          <w:highlight w:val="none"/>
        </w:rPr>
        <w:t>（2）现场递交的响应文件逾期送达的、未送达指定地点的或不按照竞争性谈判文件要求密封的，招标人予以拒收。</w:t>
      </w:r>
    </w:p>
    <w:p>
      <w:pPr>
        <w:autoSpaceDE w:val="0"/>
        <w:autoSpaceDN w:val="0"/>
        <w:spacing w:line="360" w:lineRule="auto"/>
        <w:jc w:val="left"/>
        <w:rPr>
          <w:rFonts w:ascii="微软雅黑" w:hAnsi="微软雅黑" w:eastAsia="微软雅黑" w:cs="宋体"/>
          <w:b/>
          <w:kern w:val="0"/>
          <w:sz w:val="24"/>
          <w:szCs w:val="22"/>
          <w:highlight w:val="none"/>
          <w:lang w:val="zh-CN" w:bidi="zh-CN"/>
        </w:rPr>
      </w:pPr>
      <w:r>
        <w:rPr>
          <w:rFonts w:hint="eastAsia" w:ascii="微软雅黑" w:hAnsi="微软雅黑" w:eastAsia="微软雅黑" w:cs="宋体"/>
          <w:b/>
          <w:kern w:val="0"/>
          <w:sz w:val="24"/>
          <w:szCs w:val="22"/>
          <w:highlight w:val="none"/>
          <w:lang w:val="zh-CN" w:bidi="zh-CN"/>
        </w:rPr>
        <w:t>6.</w:t>
      </w:r>
      <w:r>
        <w:rPr>
          <w:rFonts w:ascii="微软雅黑" w:hAnsi="微软雅黑" w:eastAsia="微软雅黑" w:cs="宋体"/>
          <w:b/>
          <w:kern w:val="0"/>
          <w:sz w:val="24"/>
          <w:szCs w:val="22"/>
          <w:highlight w:val="none"/>
          <w:lang w:val="zh-CN" w:bidi="zh-CN"/>
        </w:rPr>
        <w:t xml:space="preserve"> </w:t>
      </w:r>
      <w:r>
        <w:rPr>
          <w:rFonts w:hint="eastAsia" w:ascii="微软雅黑" w:hAnsi="微软雅黑" w:eastAsia="微软雅黑" w:cs="宋体"/>
          <w:b/>
          <w:kern w:val="0"/>
          <w:sz w:val="24"/>
          <w:szCs w:val="22"/>
          <w:highlight w:val="none"/>
          <w:lang w:val="zh-CN" w:bidi="zh-CN"/>
        </w:rPr>
        <w:t>谈判</w:t>
      </w:r>
    </w:p>
    <w:p>
      <w:pPr>
        <w:autoSpaceDE w:val="0"/>
        <w:autoSpaceDN w:val="0"/>
        <w:spacing w:line="360" w:lineRule="auto"/>
        <w:ind w:firstLine="422" w:firstLineChars="200"/>
        <w:jc w:val="left"/>
        <w:rPr>
          <w:rFonts w:ascii="宋体" w:hAnsi="宋体"/>
          <w:b/>
          <w:color w:val="000000"/>
          <w:szCs w:val="21"/>
          <w:highlight w:val="none"/>
        </w:rPr>
      </w:pPr>
      <w:r>
        <w:rPr>
          <w:rFonts w:hint="eastAsia" w:ascii="宋体" w:hAnsi="宋体"/>
          <w:b/>
          <w:color w:val="000000"/>
          <w:kern w:val="0"/>
          <w:szCs w:val="21"/>
          <w:highlight w:val="none"/>
        </w:rPr>
        <w:t>6.1</w:t>
      </w:r>
      <w:r>
        <w:rPr>
          <w:rFonts w:hint="eastAsia" w:ascii="宋体" w:hAnsi="宋体"/>
          <w:b/>
          <w:color w:val="000000"/>
          <w:szCs w:val="21"/>
          <w:highlight w:val="none"/>
        </w:rPr>
        <w:t>谈判地点：</w:t>
      </w:r>
      <w:r>
        <w:rPr>
          <w:rFonts w:ascii="宋体" w:hAnsi="宋体"/>
          <w:b/>
          <w:color w:val="000000"/>
          <w:szCs w:val="21"/>
          <w:highlight w:val="none"/>
        </w:rPr>
        <w:t>四川省成都市锦江区三色路</w:t>
      </w:r>
      <w:r>
        <w:rPr>
          <w:rFonts w:hint="eastAsia" w:ascii="宋体" w:hAnsi="宋体"/>
          <w:b/>
          <w:color w:val="000000"/>
          <w:szCs w:val="21"/>
          <w:highlight w:val="none"/>
        </w:rPr>
        <w:t>1</w:t>
      </w:r>
      <w:r>
        <w:rPr>
          <w:rFonts w:ascii="宋体" w:hAnsi="宋体"/>
          <w:b/>
          <w:color w:val="000000"/>
          <w:szCs w:val="21"/>
          <w:highlight w:val="none"/>
        </w:rPr>
        <w:t>63号银海芯座</w:t>
      </w:r>
      <w:r>
        <w:rPr>
          <w:rFonts w:hint="eastAsia" w:ascii="宋体" w:hAnsi="宋体"/>
          <w:b/>
          <w:color w:val="000000"/>
          <w:szCs w:val="21"/>
          <w:highlight w:val="none"/>
        </w:rPr>
        <w:t>B座2</w:t>
      </w:r>
      <w:r>
        <w:rPr>
          <w:rFonts w:ascii="宋体" w:hAnsi="宋体"/>
          <w:b/>
          <w:color w:val="000000"/>
          <w:szCs w:val="21"/>
          <w:highlight w:val="none"/>
        </w:rPr>
        <w:t>2楼2217</w:t>
      </w:r>
      <w:r>
        <w:rPr>
          <w:rFonts w:hint="eastAsia" w:ascii="宋体" w:hAnsi="宋体"/>
          <w:b/>
          <w:color w:val="000000"/>
          <w:szCs w:val="21"/>
          <w:highlight w:val="none"/>
        </w:rPr>
        <w:t>会议室。</w:t>
      </w:r>
    </w:p>
    <w:p>
      <w:pPr>
        <w:autoSpaceDE w:val="0"/>
        <w:autoSpaceDN w:val="0"/>
        <w:spacing w:line="360" w:lineRule="auto"/>
        <w:jc w:val="left"/>
        <w:rPr>
          <w:rFonts w:ascii="微软雅黑" w:hAnsi="微软雅黑" w:eastAsia="微软雅黑" w:cs="宋体"/>
          <w:b/>
          <w:kern w:val="0"/>
          <w:sz w:val="24"/>
          <w:szCs w:val="22"/>
          <w:highlight w:val="none"/>
          <w:lang w:bidi="zh-CN"/>
        </w:rPr>
      </w:pPr>
      <w:r>
        <w:rPr>
          <w:rFonts w:hint="eastAsia" w:ascii="微软雅黑" w:hAnsi="微软雅黑" w:eastAsia="微软雅黑" w:cs="宋体"/>
          <w:b/>
          <w:kern w:val="0"/>
          <w:sz w:val="24"/>
          <w:szCs w:val="22"/>
          <w:highlight w:val="none"/>
          <w:lang w:bidi="zh-CN"/>
        </w:rPr>
        <w:t>7.</w:t>
      </w:r>
      <w:r>
        <w:rPr>
          <w:rFonts w:ascii="微软雅黑" w:hAnsi="微软雅黑" w:eastAsia="微软雅黑" w:cs="宋体"/>
          <w:b/>
          <w:kern w:val="0"/>
          <w:sz w:val="24"/>
          <w:szCs w:val="22"/>
          <w:highlight w:val="none"/>
          <w:lang w:bidi="zh-CN"/>
        </w:rPr>
        <w:t xml:space="preserve"> </w:t>
      </w:r>
      <w:r>
        <w:rPr>
          <w:rFonts w:hint="eastAsia" w:ascii="微软雅黑" w:hAnsi="微软雅黑" w:eastAsia="微软雅黑" w:cs="宋体"/>
          <w:b/>
          <w:kern w:val="0"/>
          <w:sz w:val="24"/>
          <w:szCs w:val="22"/>
          <w:highlight w:val="none"/>
          <w:lang w:val="zh-CN" w:bidi="zh-CN"/>
        </w:rPr>
        <w:t>发布公告的媒介</w:t>
      </w:r>
    </w:p>
    <w:p>
      <w:pPr>
        <w:pStyle w:val="18"/>
        <w:snapToGrid w:val="0"/>
        <w:spacing w:line="360" w:lineRule="auto"/>
        <w:ind w:firstLine="420" w:firstLineChars="200"/>
        <w:rPr>
          <w:rFonts w:ascii="微软雅黑" w:hAnsi="微软雅黑" w:eastAsia="微软雅黑" w:cs="宋体"/>
          <w:b/>
          <w:sz w:val="24"/>
          <w:szCs w:val="22"/>
          <w:highlight w:val="none"/>
          <w:lang w:bidi="zh-CN"/>
        </w:rPr>
      </w:pPr>
      <w:r>
        <w:rPr>
          <w:rFonts w:ascii="宋体" w:hAnsi="宋体" w:cs="宋体"/>
          <w:sz w:val="21"/>
          <w:szCs w:val="21"/>
          <w:highlight w:val="none"/>
          <w:lang w:val="zh-CN" w:bidi="zh-CN"/>
        </w:rPr>
        <w:t>本次</w:t>
      </w:r>
      <w:r>
        <w:rPr>
          <w:rFonts w:hint="eastAsia" w:ascii="宋体" w:hAnsi="宋体" w:cs="宋体"/>
          <w:sz w:val="21"/>
          <w:szCs w:val="21"/>
          <w:highlight w:val="none"/>
          <w:lang w:val="zh-CN" w:bidi="zh-CN"/>
        </w:rPr>
        <w:t>谈判</w:t>
      </w:r>
      <w:r>
        <w:rPr>
          <w:rFonts w:ascii="宋体" w:hAnsi="宋体" w:cs="宋体"/>
          <w:sz w:val="21"/>
          <w:szCs w:val="21"/>
          <w:highlight w:val="none"/>
          <w:lang w:val="zh-CN" w:bidi="zh-CN"/>
        </w:rPr>
        <w:t>公告同时在</w:t>
      </w:r>
      <w:r>
        <w:rPr>
          <w:rFonts w:hint="eastAsia" w:ascii="宋体" w:hAnsi="宋体" w:cs="宋体"/>
          <w:sz w:val="21"/>
          <w:szCs w:val="21"/>
          <w:highlight w:val="none"/>
          <w:lang w:val="zh-CN" w:bidi="zh-CN"/>
        </w:rPr>
        <w:t>中国招标投标公共服务平台、中国</w:t>
      </w:r>
      <w:r>
        <w:rPr>
          <w:rFonts w:ascii="宋体" w:hAnsi="宋体" w:cs="宋体"/>
          <w:sz w:val="21"/>
          <w:szCs w:val="21"/>
          <w:highlight w:val="none"/>
          <w:lang w:val="zh-CN" w:bidi="zh-CN"/>
        </w:rPr>
        <w:t>采购与招标网</w:t>
      </w:r>
      <w:r>
        <w:rPr>
          <w:rFonts w:ascii="宋体" w:hAnsi="宋体" w:cs="宋体"/>
          <w:sz w:val="21"/>
          <w:szCs w:val="21"/>
          <w:highlight w:val="none"/>
          <w:lang w:bidi="zh-CN"/>
        </w:rPr>
        <w:t>（http://www.chinabidding.com.cn/）</w:t>
      </w:r>
      <w:r>
        <w:rPr>
          <w:rFonts w:hint="eastAsia" w:ascii="宋体" w:hAnsi="宋体" w:cs="宋体"/>
          <w:sz w:val="21"/>
          <w:szCs w:val="21"/>
          <w:highlight w:val="none"/>
          <w:lang w:val="zh-CN" w:bidi="zh-CN"/>
        </w:rPr>
        <w:t>、四川交通投资集团有限责任公司</w:t>
      </w:r>
      <w:r>
        <w:rPr>
          <w:rFonts w:hint="eastAsia" w:ascii="宋体" w:hAnsi="宋体" w:cs="宋体"/>
          <w:sz w:val="21"/>
          <w:szCs w:val="21"/>
          <w:highlight w:val="none"/>
          <w:lang w:bidi="zh-CN"/>
        </w:rPr>
        <w:t>(http://www.scjtgroup.com)</w:t>
      </w:r>
      <w:r>
        <w:rPr>
          <w:rFonts w:hint="eastAsia" w:ascii="宋体" w:hAnsi="宋体" w:cs="宋体"/>
          <w:sz w:val="21"/>
          <w:szCs w:val="21"/>
          <w:highlight w:val="none"/>
          <w:lang w:val="zh-CN" w:bidi="zh-CN"/>
        </w:rPr>
        <w:t>和四川交投物流有限公司网站</w:t>
      </w:r>
      <w:r>
        <w:rPr>
          <w:rFonts w:hint="eastAsia" w:ascii="宋体" w:hAnsi="宋体" w:cs="宋体"/>
          <w:sz w:val="21"/>
          <w:szCs w:val="21"/>
          <w:highlight w:val="none"/>
          <w:lang w:bidi="zh-CN"/>
        </w:rPr>
        <w:t>（http://www.scjt-wl.com/）</w:t>
      </w:r>
      <w:r>
        <w:rPr>
          <w:rFonts w:hint="eastAsia" w:ascii="宋体" w:hAnsi="宋体" w:cs="宋体"/>
          <w:sz w:val="21"/>
          <w:szCs w:val="21"/>
          <w:highlight w:val="none"/>
          <w:lang w:val="zh-CN" w:bidi="zh-CN"/>
        </w:rPr>
        <w:t>和四川交投智</w:t>
      </w:r>
      <w:r>
        <w:rPr>
          <w:rFonts w:ascii="宋体" w:hAnsi="宋体" w:cs="宋体"/>
          <w:sz w:val="21"/>
          <w:szCs w:val="21"/>
          <w:highlight w:val="none"/>
          <w:lang w:val="zh-CN" w:bidi="zh-CN"/>
        </w:rPr>
        <w:t>采</w:t>
      </w:r>
      <w:r>
        <w:rPr>
          <w:rFonts w:hint="eastAsia" w:ascii="宋体" w:hAnsi="宋体" w:cs="宋体"/>
          <w:sz w:val="21"/>
          <w:szCs w:val="21"/>
          <w:highlight w:val="none"/>
          <w:lang w:val="zh-CN" w:bidi="zh-CN"/>
        </w:rPr>
        <w:t>平台</w:t>
      </w:r>
      <w:r>
        <w:rPr>
          <w:rFonts w:hint="eastAsia" w:ascii="宋体" w:hAnsi="宋体" w:cs="宋体"/>
          <w:sz w:val="21"/>
          <w:szCs w:val="21"/>
          <w:highlight w:val="none"/>
          <w:lang w:bidi="zh-CN"/>
        </w:rPr>
        <w:t>（http:// scjt</w:t>
      </w:r>
      <w:r>
        <w:rPr>
          <w:rFonts w:ascii="宋体" w:hAnsi="宋体" w:cs="宋体"/>
          <w:sz w:val="21"/>
          <w:szCs w:val="21"/>
          <w:highlight w:val="none"/>
          <w:lang w:bidi="zh-CN"/>
        </w:rPr>
        <w:t>.pauct</w:t>
      </w:r>
      <w:r>
        <w:rPr>
          <w:rFonts w:hint="eastAsia" w:ascii="宋体" w:hAnsi="宋体" w:cs="宋体"/>
          <w:sz w:val="21"/>
          <w:szCs w:val="21"/>
          <w:highlight w:val="none"/>
          <w:lang w:bidi="zh-CN"/>
        </w:rPr>
        <w:t>.com/）</w:t>
      </w:r>
      <w:r>
        <w:rPr>
          <w:rFonts w:ascii="宋体" w:hAnsi="宋体" w:cs="宋体"/>
          <w:sz w:val="21"/>
          <w:szCs w:val="21"/>
          <w:highlight w:val="none"/>
          <w:lang w:val="zh-CN" w:bidi="zh-CN"/>
        </w:rPr>
        <w:t>上发布。</w:t>
      </w:r>
    </w:p>
    <w:p>
      <w:pPr>
        <w:autoSpaceDE w:val="0"/>
        <w:autoSpaceDN w:val="0"/>
        <w:spacing w:line="360" w:lineRule="auto"/>
        <w:jc w:val="left"/>
        <w:rPr>
          <w:rFonts w:ascii="微软雅黑" w:hAnsi="微软雅黑" w:eastAsia="微软雅黑" w:cs="宋体"/>
          <w:b/>
          <w:kern w:val="0"/>
          <w:sz w:val="24"/>
          <w:szCs w:val="22"/>
          <w:highlight w:val="none"/>
          <w:lang w:val="zh-CN" w:bidi="zh-CN"/>
        </w:rPr>
      </w:pPr>
      <w:r>
        <w:rPr>
          <w:rFonts w:hint="eastAsia" w:ascii="微软雅黑" w:hAnsi="微软雅黑" w:eastAsia="微软雅黑" w:cs="宋体"/>
          <w:b/>
          <w:kern w:val="0"/>
          <w:sz w:val="24"/>
          <w:szCs w:val="22"/>
          <w:highlight w:val="none"/>
          <w:lang w:val="zh-CN" w:bidi="zh-CN"/>
        </w:rPr>
        <w:t>8.</w:t>
      </w:r>
      <w:r>
        <w:rPr>
          <w:rFonts w:ascii="微软雅黑" w:hAnsi="微软雅黑" w:eastAsia="微软雅黑" w:cs="宋体"/>
          <w:b/>
          <w:kern w:val="0"/>
          <w:sz w:val="24"/>
          <w:szCs w:val="22"/>
          <w:highlight w:val="none"/>
          <w:lang w:val="zh-CN" w:bidi="zh-CN"/>
        </w:rPr>
        <w:t xml:space="preserve"> </w:t>
      </w:r>
      <w:r>
        <w:rPr>
          <w:rFonts w:hint="eastAsia" w:ascii="微软雅黑" w:hAnsi="微软雅黑" w:eastAsia="微软雅黑" w:cs="宋体"/>
          <w:b/>
          <w:kern w:val="0"/>
          <w:sz w:val="24"/>
          <w:szCs w:val="22"/>
          <w:highlight w:val="none"/>
          <w:lang w:val="zh-CN" w:bidi="zh-CN"/>
        </w:rPr>
        <w:t>联系方式</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招 标 人： 四川交投物流有限公司</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地    址： 成都市锦江区三色路银海芯座B栋22层</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邮    编： 610011</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联 系 人： 王女士</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 xml:space="preserve">电    话： </w:t>
      </w:r>
      <w:r>
        <w:rPr>
          <w:rFonts w:ascii="宋体" w:hAnsi="宋体" w:cs="宋体"/>
          <w:kern w:val="0"/>
          <w:szCs w:val="21"/>
          <w:highlight w:val="none"/>
          <w:lang w:val="zh-CN" w:bidi="zh-CN"/>
        </w:rPr>
        <w:t>028-86926390</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邮    箱</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 xml:space="preserve"> </w:t>
      </w:r>
      <w:r>
        <w:rPr>
          <w:szCs w:val="21"/>
          <w:highlight w:val="none"/>
        </w:rPr>
        <w:t>scjtwljgb@163.com</w:t>
      </w:r>
    </w:p>
    <w:p>
      <w:pPr>
        <w:autoSpaceDE w:val="0"/>
        <w:autoSpaceDN w:val="0"/>
        <w:adjustRightInd w:val="0"/>
        <w:snapToGrid w:val="0"/>
        <w:spacing w:line="360" w:lineRule="auto"/>
        <w:ind w:firstLine="420" w:firstLineChars="200"/>
        <w:jc w:val="left"/>
        <w:rPr>
          <w:rFonts w:ascii="宋体" w:hAnsi="宋体" w:cs="宋体"/>
          <w:kern w:val="0"/>
          <w:szCs w:val="21"/>
          <w:highlight w:val="none"/>
          <w:lang w:bidi="zh-CN"/>
        </w:rPr>
      </w:pPr>
      <w:r>
        <w:rPr>
          <w:rFonts w:hint="eastAsia" w:ascii="宋体" w:hAnsi="宋体" w:cs="宋体"/>
          <w:kern w:val="0"/>
          <w:szCs w:val="21"/>
          <w:highlight w:val="none"/>
          <w:lang w:bidi="zh-CN"/>
        </w:rPr>
        <w:t>招标咨询机构：</w:t>
      </w:r>
      <w:r>
        <w:rPr>
          <w:rFonts w:ascii="宋体" w:hAnsi="宋体" w:cs="宋体"/>
          <w:kern w:val="0"/>
          <w:szCs w:val="21"/>
          <w:highlight w:val="none"/>
          <w:lang w:bidi="zh-CN"/>
        </w:rPr>
        <w:t>四川省</w:t>
      </w:r>
      <w:r>
        <w:rPr>
          <w:rFonts w:hint="eastAsia" w:ascii="宋体" w:hAnsi="宋体" w:cs="宋体"/>
          <w:kern w:val="0"/>
          <w:szCs w:val="21"/>
          <w:highlight w:val="none"/>
          <w:lang w:bidi="zh-CN"/>
        </w:rPr>
        <w:t>川交</w:t>
      </w:r>
      <w:r>
        <w:rPr>
          <w:rFonts w:ascii="宋体" w:hAnsi="宋体" w:cs="宋体"/>
          <w:kern w:val="0"/>
          <w:szCs w:val="21"/>
          <w:highlight w:val="none"/>
          <w:lang w:bidi="zh-CN"/>
        </w:rPr>
        <w:t>公路工程咨询有限</w:t>
      </w:r>
      <w:r>
        <w:rPr>
          <w:rFonts w:hint="eastAsia" w:ascii="宋体" w:hAnsi="宋体" w:cs="宋体"/>
          <w:kern w:val="0"/>
          <w:szCs w:val="21"/>
          <w:highlight w:val="none"/>
          <w:lang w:bidi="zh-CN"/>
        </w:rPr>
        <w:t>公司</w:t>
      </w:r>
    </w:p>
    <w:p>
      <w:pPr>
        <w:autoSpaceDE w:val="0"/>
        <w:autoSpaceDN w:val="0"/>
        <w:adjustRightInd w:val="0"/>
        <w:snapToGrid w:val="0"/>
        <w:spacing w:line="360" w:lineRule="auto"/>
        <w:ind w:firstLine="420" w:firstLineChars="200"/>
        <w:jc w:val="left"/>
        <w:rPr>
          <w:rFonts w:ascii="宋体" w:hAnsi="宋体" w:cs="宋体"/>
          <w:kern w:val="0"/>
          <w:szCs w:val="21"/>
          <w:highlight w:val="none"/>
          <w:lang w:bidi="zh-CN"/>
        </w:rPr>
      </w:pPr>
      <w:r>
        <w:rPr>
          <w:rFonts w:hint="eastAsia" w:ascii="宋体" w:hAnsi="宋体" w:cs="宋体"/>
          <w:kern w:val="0"/>
          <w:szCs w:val="21"/>
          <w:highlight w:val="none"/>
          <w:lang w:bidi="zh-CN"/>
        </w:rPr>
        <w:t>地    址：</w:t>
      </w:r>
      <w:r>
        <w:rPr>
          <w:rFonts w:ascii="宋体" w:hAnsi="宋体" w:cs="宋体"/>
          <w:kern w:val="0"/>
          <w:szCs w:val="21"/>
          <w:highlight w:val="none"/>
          <w:lang w:bidi="zh-CN"/>
        </w:rPr>
        <w:t>成都市武侯区武侯祠横街</w:t>
      </w:r>
      <w:r>
        <w:rPr>
          <w:rFonts w:hint="eastAsia" w:ascii="宋体" w:hAnsi="宋体" w:cs="宋体"/>
          <w:kern w:val="0"/>
          <w:szCs w:val="21"/>
          <w:highlight w:val="none"/>
          <w:lang w:bidi="zh-CN"/>
        </w:rPr>
        <w:t>1号1号楼4楼</w:t>
      </w:r>
    </w:p>
    <w:p>
      <w:pPr>
        <w:autoSpaceDE w:val="0"/>
        <w:autoSpaceDN w:val="0"/>
        <w:adjustRightInd w:val="0"/>
        <w:snapToGrid w:val="0"/>
        <w:spacing w:line="360" w:lineRule="auto"/>
        <w:ind w:firstLine="420" w:firstLineChars="200"/>
        <w:jc w:val="left"/>
        <w:rPr>
          <w:rFonts w:ascii="宋体" w:hAnsi="宋体" w:cs="宋体"/>
          <w:kern w:val="0"/>
          <w:szCs w:val="21"/>
          <w:highlight w:val="none"/>
          <w:lang w:bidi="zh-CN"/>
        </w:rPr>
      </w:pPr>
      <w:r>
        <w:rPr>
          <w:rFonts w:hint="eastAsia" w:ascii="宋体" w:hAnsi="宋体" w:cs="宋体"/>
          <w:kern w:val="0"/>
          <w:szCs w:val="21"/>
          <w:highlight w:val="none"/>
          <w:lang w:bidi="zh-CN"/>
        </w:rPr>
        <w:t>邮    编</w:t>
      </w:r>
      <w:r>
        <w:rPr>
          <w:rFonts w:ascii="宋体" w:hAnsi="宋体" w:cs="宋体"/>
          <w:kern w:val="0"/>
          <w:szCs w:val="21"/>
          <w:highlight w:val="none"/>
          <w:lang w:bidi="zh-CN"/>
        </w:rPr>
        <w:t>：</w:t>
      </w:r>
      <w:r>
        <w:rPr>
          <w:rFonts w:hint="eastAsia" w:ascii="宋体" w:hAnsi="宋体" w:cs="宋体"/>
          <w:kern w:val="0"/>
          <w:szCs w:val="21"/>
          <w:highlight w:val="none"/>
          <w:lang w:bidi="zh-CN"/>
        </w:rPr>
        <w:t>610041</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bidi="zh-CN"/>
        </w:rPr>
        <w:t>电    话：028</w:t>
      </w:r>
      <w:r>
        <w:rPr>
          <w:rFonts w:ascii="宋体" w:hAnsi="宋体" w:cs="宋体"/>
          <w:kern w:val="0"/>
          <w:szCs w:val="21"/>
          <w:highlight w:val="none"/>
          <w:lang w:bidi="zh-CN"/>
        </w:rPr>
        <w:t>-</w:t>
      </w:r>
      <w:r>
        <w:rPr>
          <w:rFonts w:hint="eastAsia" w:ascii="宋体" w:hAnsi="宋体" w:cs="宋体"/>
          <w:kern w:val="0"/>
          <w:szCs w:val="21"/>
          <w:highlight w:val="none"/>
          <w:lang w:bidi="zh-CN"/>
        </w:rPr>
        <w:t>85526037</w:t>
      </w:r>
      <w:r>
        <w:rPr>
          <w:rFonts w:hint="eastAsia" w:ascii="宋体" w:hAnsi="宋体" w:cs="宋体"/>
          <w:kern w:val="0"/>
          <w:szCs w:val="21"/>
          <w:highlight w:val="none"/>
          <w:lang w:val="zh-CN" w:bidi="zh-CN"/>
        </w:rPr>
        <w:t xml:space="preserve"> </w:t>
      </w:r>
    </w:p>
    <w:p>
      <w:pPr>
        <w:spacing w:line="360" w:lineRule="auto"/>
        <w:ind w:firstLine="420" w:firstLineChars="200"/>
        <w:rPr>
          <w:rFonts w:ascii="宋体" w:hAnsi="宋体" w:cs="宋体"/>
          <w:color w:val="000000"/>
          <w:kern w:val="0"/>
          <w:szCs w:val="21"/>
          <w:highlight w:val="none"/>
        </w:rPr>
      </w:pPr>
      <w:r>
        <w:rPr>
          <w:rFonts w:hint="eastAsia" w:ascii="宋体" w:hAnsi="宋体" w:cs="宋体"/>
          <w:kern w:val="0"/>
          <w:szCs w:val="21"/>
          <w:highlight w:val="none"/>
          <w:lang w:val="zh-CN" w:bidi="zh-CN"/>
        </w:rPr>
        <w:t>联 系 人</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 xml:space="preserve"> 王女士</w:t>
      </w:r>
    </w:p>
    <w:p>
      <w:pPr>
        <w:pStyle w:val="33"/>
        <w:wordWrap w:val="0"/>
        <w:spacing w:after="50" w:afterAutospacing="0" w:line="440" w:lineRule="exact"/>
        <w:ind w:right="800" w:firstLine="420" w:firstLineChars="200"/>
        <w:jc w:val="right"/>
        <w:rPr>
          <w:color w:val="000000"/>
          <w:kern w:val="2"/>
          <w:sz w:val="21"/>
          <w:szCs w:val="21"/>
          <w:highlight w:val="none"/>
        </w:rPr>
      </w:pPr>
    </w:p>
    <w:p>
      <w:pPr>
        <w:pStyle w:val="33"/>
        <w:wordWrap w:val="0"/>
        <w:spacing w:after="50" w:afterAutospacing="0" w:line="440" w:lineRule="exact"/>
        <w:ind w:right="800" w:firstLine="420" w:firstLineChars="200"/>
        <w:jc w:val="right"/>
        <w:rPr>
          <w:color w:val="000000"/>
          <w:kern w:val="2"/>
          <w:sz w:val="24"/>
          <w:szCs w:val="24"/>
          <w:highlight w:val="none"/>
        </w:rPr>
      </w:pPr>
      <w:r>
        <w:rPr>
          <w:rFonts w:hint="eastAsia"/>
          <w:color w:val="000000"/>
          <w:kern w:val="2"/>
          <w:sz w:val="21"/>
          <w:szCs w:val="21"/>
          <w:highlight w:val="none"/>
        </w:rPr>
        <w:t>2</w:t>
      </w:r>
      <w:r>
        <w:rPr>
          <w:color w:val="000000"/>
          <w:kern w:val="2"/>
          <w:sz w:val="21"/>
          <w:szCs w:val="21"/>
          <w:highlight w:val="none"/>
        </w:rPr>
        <w:t>021</w:t>
      </w:r>
      <w:r>
        <w:rPr>
          <w:rFonts w:hint="eastAsia"/>
          <w:color w:val="000000"/>
          <w:kern w:val="2"/>
          <w:sz w:val="21"/>
          <w:szCs w:val="21"/>
          <w:highlight w:val="none"/>
        </w:rPr>
        <w:t>年</w:t>
      </w:r>
      <w:r>
        <w:rPr>
          <w:color w:val="000000"/>
          <w:kern w:val="2"/>
          <w:sz w:val="21"/>
          <w:szCs w:val="21"/>
          <w:highlight w:val="none"/>
        </w:rPr>
        <w:t>1</w:t>
      </w:r>
      <w:r>
        <w:rPr>
          <w:rFonts w:hint="eastAsia"/>
          <w:color w:val="000000"/>
          <w:kern w:val="2"/>
          <w:sz w:val="21"/>
          <w:szCs w:val="21"/>
          <w:highlight w:val="none"/>
        </w:rPr>
        <w:t>月</w:t>
      </w:r>
      <w:r>
        <w:rPr>
          <w:color w:val="000000"/>
          <w:kern w:val="2"/>
          <w:sz w:val="21"/>
          <w:szCs w:val="21"/>
          <w:highlight w:val="none"/>
        </w:rPr>
        <w:t>18</w:t>
      </w:r>
      <w:r>
        <w:rPr>
          <w:rFonts w:hint="eastAsia"/>
          <w:color w:val="000000"/>
          <w:kern w:val="2"/>
          <w:sz w:val="21"/>
          <w:szCs w:val="21"/>
          <w:highlight w:val="none"/>
        </w:rPr>
        <w:t>日</w:t>
      </w:r>
    </w:p>
    <w:p>
      <w:pPr>
        <w:pStyle w:val="3"/>
        <w:spacing w:line="360" w:lineRule="exact"/>
        <w:jc w:val="center"/>
        <w:rPr>
          <w:rFonts w:ascii="宋体" w:hAnsi="宋体" w:eastAsia="宋体"/>
          <w:color w:val="000000"/>
          <w:sz w:val="36"/>
          <w:highlight w:val="none"/>
        </w:rPr>
      </w:pPr>
      <w:bookmarkStart w:id="19" w:name="_Toc1255"/>
      <w:r>
        <w:rPr>
          <w:rFonts w:ascii="宋体" w:hAnsi="宋体" w:eastAsia="宋体"/>
          <w:color w:val="000000"/>
          <w:highlight w:val="none"/>
        </w:rPr>
        <w:br w:type="page"/>
      </w:r>
      <w:bookmarkStart w:id="20" w:name="_Toc50654805"/>
      <w:r>
        <w:rPr>
          <w:rFonts w:hint="eastAsia" w:ascii="宋体" w:hAnsi="宋体" w:eastAsia="宋体"/>
          <w:color w:val="000000"/>
          <w:sz w:val="36"/>
          <w:highlight w:val="none"/>
        </w:rPr>
        <w:t>第二章  谈判须知</w:t>
      </w:r>
      <w:bookmarkEnd w:id="9"/>
      <w:bookmarkEnd w:id="10"/>
      <w:bookmarkEnd w:id="11"/>
      <w:bookmarkEnd w:id="12"/>
      <w:bookmarkEnd w:id="13"/>
      <w:bookmarkEnd w:id="19"/>
      <w:bookmarkEnd w:id="20"/>
      <w:bookmarkStart w:id="21" w:name="_Toc184274915"/>
      <w:bookmarkStart w:id="22" w:name="_Toc184283909"/>
    </w:p>
    <w:p>
      <w:pPr>
        <w:spacing w:line="360" w:lineRule="auto"/>
        <w:jc w:val="center"/>
        <w:rPr>
          <w:rFonts w:ascii="宋体" w:hAnsi="宋体"/>
          <w:b/>
          <w:color w:val="000000"/>
          <w:sz w:val="24"/>
          <w:highlight w:val="none"/>
        </w:rPr>
      </w:pPr>
      <w:bookmarkStart w:id="23" w:name="_Toc213396946"/>
      <w:bookmarkStart w:id="24" w:name="_Toc213397010"/>
      <w:bookmarkStart w:id="25" w:name="_Toc189727030"/>
      <w:bookmarkStart w:id="26" w:name="_Toc213396760"/>
      <w:bookmarkStart w:id="27" w:name="_Toc217446032"/>
      <w:bookmarkStart w:id="28" w:name="_Toc213496268"/>
      <w:r>
        <w:rPr>
          <w:rFonts w:hint="eastAsia" w:ascii="宋体" w:hAnsi="宋体"/>
          <w:b/>
          <w:color w:val="000000"/>
          <w:sz w:val="24"/>
          <w:highlight w:val="none"/>
        </w:rPr>
        <w:t>谈判须知前附表</w:t>
      </w:r>
      <w:bookmarkEnd w:id="21"/>
      <w:bookmarkEnd w:id="22"/>
      <w:bookmarkEnd w:id="23"/>
      <w:bookmarkEnd w:id="24"/>
      <w:bookmarkEnd w:id="25"/>
      <w:bookmarkEnd w:id="26"/>
      <w:bookmarkEnd w:id="27"/>
      <w:bookmarkEnd w:id="28"/>
    </w:p>
    <w:tbl>
      <w:tblPr>
        <w:tblStyle w:val="42"/>
        <w:tblW w:w="8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8"/>
        <w:gridCol w:w="1879"/>
        <w:gridCol w:w="6119"/>
      </w:tblGrid>
      <w:tr>
        <w:tblPrEx>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条款号</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应知事项</w:t>
            </w:r>
          </w:p>
        </w:tc>
        <w:tc>
          <w:tcPr>
            <w:tcW w:w="611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招标人</w:t>
            </w:r>
          </w:p>
        </w:tc>
        <w:tc>
          <w:tcPr>
            <w:tcW w:w="6119" w:type="dxa"/>
            <w:vAlign w:val="center"/>
          </w:tcPr>
          <w:p>
            <w:pPr>
              <w:adjustRightInd w:val="0"/>
              <w:snapToGrid w:val="0"/>
              <w:spacing w:line="400" w:lineRule="exact"/>
              <w:ind w:firstLine="105" w:firstLineChars="50"/>
              <w:jc w:val="left"/>
              <w:rPr>
                <w:rFonts w:ascii="宋体" w:hAnsi="宋体"/>
                <w:color w:val="000000"/>
                <w:szCs w:val="21"/>
                <w:highlight w:val="none"/>
              </w:rPr>
            </w:pPr>
            <w:r>
              <w:rPr>
                <w:rFonts w:hint="eastAsia" w:ascii="宋体" w:hAnsi="宋体"/>
                <w:color w:val="000000"/>
                <w:szCs w:val="21"/>
                <w:highlight w:val="none"/>
              </w:rPr>
              <w:t>名  称：</w:t>
            </w:r>
            <w:r>
              <w:rPr>
                <w:rFonts w:hint="eastAsia" w:ascii="宋体" w:hAnsi="宋体" w:cs="宋体"/>
                <w:szCs w:val="21"/>
                <w:highlight w:val="none"/>
              </w:rPr>
              <w:t>四川交投物流有限公司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2</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招标咨询机构</w:t>
            </w:r>
          </w:p>
        </w:tc>
        <w:tc>
          <w:tcPr>
            <w:tcW w:w="6119" w:type="dxa"/>
            <w:vAlign w:val="center"/>
          </w:tcPr>
          <w:p>
            <w:pPr>
              <w:adjustRightInd w:val="0"/>
              <w:snapToGrid w:val="0"/>
              <w:spacing w:line="400" w:lineRule="exact"/>
              <w:ind w:firstLine="105" w:firstLineChars="50"/>
              <w:rPr>
                <w:rFonts w:ascii="宋体" w:hAnsi="宋体"/>
                <w:color w:val="000000"/>
                <w:szCs w:val="21"/>
                <w:highlight w:val="none"/>
              </w:rPr>
            </w:pPr>
            <w:r>
              <w:rPr>
                <w:rFonts w:ascii="宋体" w:hAnsi="宋体" w:cs="宋体"/>
                <w:szCs w:val="21"/>
                <w:highlight w:val="none"/>
              </w:rPr>
              <w:t>四川省川交公路工程咨询有限公司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3</w:t>
            </w:r>
          </w:p>
        </w:tc>
        <w:tc>
          <w:tcPr>
            <w:tcW w:w="1879" w:type="dxa"/>
            <w:vAlign w:val="center"/>
          </w:tcPr>
          <w:p>
            <w:pPr>
              <w:adjustRightInd w:val="0"/>
              <w:snapToGrid w:val="0"/>
              <w:spacing w:line="400" w:lineRule="exact"/>
              <w:ind w:firstLine="105" w:firstLineChars="50"/>
              <w:jc w:val="center"/>
              <w:rPr>
                <w:color w:val="000000"/>
                <w:szCs w:val="21"/>
                <w:highlight w:val="none"/>
              </w:rPr>
            </w:pPr>
            <w:r>
              <w:rPr>
                <w:rFonts w:hint="eastAsia"/>
                <w:color w:val="000000"/>
                <w:szCs w:val="21"/>
                <w:highlight w:val="none"/>
              </w:rPr>
              <w:t>谈判项目名称</w:t>
            </w:r>
          </w:p>
        </w:tc>
        <w:tc>
          <w:tcPr>
            <w:tcW w:w="6119" w:type="dxa"/>
            <w:vAlign w:val="center"/>
          </w:tcPr>
          <w:p>
            <w:pPr>
              <w:adjustRightInd w:val="0"/>
              <w:snapToGrid w:val="0"/>
              <w:spacing w:line="400" w:lineRule="exact"/>
              <w:rPr>
                <w:color w:val="000000"/>
                <w:szCs w:val="21"/>
                <w:highlight w:val="none"/>
              </w:rPr>
            </w:pPr>
            <w:r>
              <w:rPr>
                <w:rFonts w:hint="eastAsia" w:ascii="宋体" w:hAnsi="宋体" w:cs="宋体"/>
                <w:szCs w:val="21"/>
                <w:highlight w:val="none"/>
              </w:rPr>
              <w:t>G4216线屏山新市至金阳段、</w:t>
            </w:r>
            <w:r>
              <w:rPr>
                <w:rFonts w:ascii="宋体" w:hAnsi="宋体" w:cs="宋体"/>
                <w:szCs w:val="21"/>
                <w:highlight w:val="none"/>
              </w:rPr>
              <w:t>金阳至宁南段</w:t>
            </w:r>
            <w:r>
              <w:rPr>
                <w:rFonts w:hint="eastAsia" w:ascii="宋体" w:hAnsi="宋体" w:cs="宋体"/>
                <w:szCs w:val="21"/>
                <w:highlight w:val="none"/>
              </w:rPr>
              <w:t>高速公路项目2021～</w:t>
            </w:r>
            <w:r>
              <w:rPr>
                <w:rFonts w:ascii="宋体" w:hAnsi="宋体" w:cs="宋体"/>
                <w:szCs w:val="21"/>
                <w:highlight w:val="none"/>
              </w:rPr>
              <w:t>2022</w:t>
            </w:r>
            <w:r>
              <w:rPr>
                <w:rFonts w:hint="eastAsia" w:ascii="宋体" w:hAnsi="宋体" w:cs="宋体"/>
                <w:szCs w:val="21"/>
                <w:highlight w:val="none"/>
              </w:rPr>
              <w:t>年度钢材船舶运输服务（第三次）招标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4</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资金来源</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5</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lang w:val="zh-CN"/>
              </w:rPr>
              <w:t>投标人</w:t>
            </w:r>
            <w:r>
              <w:rPr>
                <w:rFonts w:ascii="宋体" w:hAnsi="宋体"/>
                <w:color w:val="000000"/>
                <w:szCs w:val="21"/>
                <w:highlight w:val="none"/>
                <w:lang w:val="zh-CN"/>
              </w:rPr>
              <w:t>参加</w:t>
            </w:r>
            <w:r>
              <w:rPr>
                <w:rFonts w:hint="eastAsia" w:ascii="宋体" w:hAnsi="宋体"/>
                <w:color w:val="000000"/>
                <w:szCs w:val="21"/>
                <w:highlight w:val="none"/>
                <w:lang w:val="zh-CN"/>
              </w:rPr>
              <w:t>谈判的方式</w:t>
            </w:r>
          </w:p>
        </w:tc>
        <w:tc>
          <w:tcPr>
            <w:tcW w:w="6119" w:type="dxa"/>
            <w:vAlign w:val="center"/>
          </w:tcPr>
          <w:p>
            <w:pPr>
              <w:adjustRightInd w:val="0"/>
              <w:snapToGrid w:val="0"/>
              <w:spacing w:line="400" w:lineRule="exact"/>
              <w:ind w:left="105" w:leftChars="50"/>
              <w:rPr>
                <w:rFonts w:ascii="宋体" w:hAnsi="宋体" w:cs="宋体"/>
                <w:szCs w:val="21"/>
                <w:highlight w:val="none"/>
              </w:rPr>
            </w:pPr>
            <w:r>
              <w:rPr>
                <w:rFonts w:hint="eastAsia" w:hAnsi="宋体" w:cs="宋体"/>
                <w:highlight w:val="none"/>
              </w:rPr>
              <w:t>本次竞争性谈判采取</w:t>
            </w:r>
            <w:r>
              <w:rPr>
                <w:rFonts w:hAnsi="宋体" w:cs="宋体"/>
                <w:highlight w:val="none"/>
              </w:rPr>
              <w:t>在网上发布公告的</w:t>
            </w:r>
            <w:r>
              <w:rPr>
                <w:rFonts w:hint="eastAsia" w:hAnsi="宋体" w:cs="宋体"/>
                <w:highlight w:val="none"/>
              </w:rPr>
              <w:t>方式邀请参加谈判的潜在投标人。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6</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质量要求、验收标准</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s="宋体"/>
                <w:szCs w:val="21"/>
                <w:highlight w:val="none"/>
              </w:rPr>
              <w:t>满足竞争性谈判文件“第三章船舶运输服务要求”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4" w:hRule="atLeast"/>
          <w:jc w:val="center"/>
        </w:trPr>
        <w:tc>
          <w:tcPr>
            <w:tcW w:w="678" w:type="dxa"/>
            <w:shd w:val="clear" w:color="auto" w:fill="auto"/>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7</w:t>
            </w:r>
          </w:p>
        </w:tc>
        <w:tc>
          <w:tcPr>
            <w:tcW w:w="1879" w:type="dxa"/>
            <w:shd w:val="clear" w:color="auto" w:fill="auto"/>
            <w:vAlign w:val="center"/>
          </w:tcPr>
          <w:p>
            <w:pPr>
              <w:adjustRightInd w:val="0"/>
              <w:snapToGrid w:val="0"/>
              <w:spacing w:line="400" w:lineRule="exact"/>
              <w:jc w:val="center"/>
              <w:rPr>
                <w:rFonts w:ascii="宋体" w:hAnsi="宋体"/>
                <w:b/>
                <w:color w:val="000000"/>
                <w:szCs w:val="21"/>
                <w:highlight w:val="none"/>
              </w:rPr>
            </w:pPr>
            <w:r>
              <w:rPr>
                <w:rFonts w:hint="eastAsia" w:ascii="宋体" w:hAnsi="宋体"/>
                <w:b/>
                <w:color w:val="000000"/>
                <w:szCs w:val="21"/>
                <w:highlight w:val="none"/>
              </w:rPr>
              <w:t>最高投标限价</w:t>
            </w:r>
          </w:p>
        </w:tc>
        <w:tc>
          <w:tcPr>
            <w:tcW w:w="6119" w:type="dxa"/>
            <w:vAlign w:val="center"/>
          </w:tcPr>
          <w:p>
            <w:pPr>
              <w:pStyle w:val="21"/>
              <w:adjustRightInd w:val="0"/>
              <w:snapToGrid w:val="0"/>
              <w:spacing w:line="400" w:lineRule="exact"/>
              <w:ind w:left="420" w:hanging="420"/>
              <w:rPr>
                <w:rFonts w:cs="宋体" w:asciiTheme="minorEastAsia" w:hAnsiTheme="minorEastAsia" w:eastAsiaTheme="minorEastAsia"/>
                <w:b/>
                <w:bCs/>
                <w:sz w:val="21"/>
                <w:szCs w:val="21"/>
                <w:highlight w:val="none"/>
              </w:rPr>
            </w:pPr>
            <w:r>
              <w:rPr>
                <w:rFonts w:hint="eastAsia" w:hAnsi="宋体" w:cs="宋体"/>
                <w:b/>
                <w:bCs/>
                <w:highlight w:val="none"/>
              </w:rPr>
              <w:t>最</w:t>
            </w:r>
            <w:r>
              <w:rPr>
                <w:rFonts w:hint="eastAsia" w:cs="宋体" w:asciiTheme="minorEastAsia" w:hAnsiTheme="minorEastAsia" w:eastAsiaTheme="minorEastAsia"/>
                <w:b/>
                <w:bCs/>
                <w:sz w:val="21"/>
                <w:szCs w:val="21"/>
                <w:highlight w:val="none"/>
              </w:rPr>
              <w:t xml:space="preserve">高投标限价在竞争性谈判文件中公布如下： </w:t>
            </w:r>
          </w:p>
          <w:tbl>
            <w:tblPr>
              <w:tblStyle w:val="42"/>
              <w:tblW w:w="4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44" w:type="dxa"/>
                  <w:vAlign w:val="center"/>
                </w:tcPr>
                <w:p>
                  <w:pPr>
                    <w:jc w:val="center"/>
                    <w:rPr>
                      <w:rFonts w:asciiTheme="minorEastAsia" w:hAnsiTheme="minorEastAsia" w:eastAsiaTheme="minorEastAsia"/>
                      <w:szCs w:val="21"/>
                      <w:highlight w:val="none"/>
                    </w:rPr>
                  </w:pPr>
                  <w:bookmarkStart w:id="29" w:name="_Hlk18843915"/>
                  <w:r>
                    <w:rPr>
                      <w:rFonts w:hint="eastAsia" w:asciiTheme="minorEastAsia" w:hAnsiTheme="minorEastAsia" w:eastAsiaTheme="minorEastAsia"/>
                      <w:szCs w:val="21"/>
                      <w:highlight w:val="none"/>
                    </w:rPr>
                    <w:t>标段号</w:t>
                  </w:r>
                </w:p>
              </w:tc>
              <w:tc>
                <w:tcPr>
                  <w:tcW w:w="264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最高投标限价</w:t>
                  </w:r>
                </w:p>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44"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GC</w:t>
                  </w:r>
                  <w:r>
                    <w:rPr>
                      <w:rFonts w:asciiTheme="minorEastAsia" w:hAnsiTheme="minorEastAsia" w:eastAsiaTheme="minorEastAsia"/>
                      <w:szCs w:val="21"/>
                      <w:highlight w:val="none"/>
                    </w:rPr>
                    <w:t>YS</w:t>
                  </w:r>
                </w:p>
              </w:tc>
              <w:tc>
                <w:tcPr>
                  <w:tcW w:w="264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5000</w:t>
                  </w:r>
                </w:p>
              </w:tc>
            </w:tr>
            <w:bookmarkEnd w:id="29"/>
          </w:tbl>
          <w:p>
            <w:pPr>
              <w:autoSpaceDE w:val="0"/>
              <w:autoSpaceDN w:val="0"/>
              <w:spacing w:line="360" w:lineRule="exact"/>
              <w:jc w:val="left"/>
              <w:rPr>
                <w:rFonts w:cs="宋体" w:asciiTheme="minorEastAsia" w:hAnsiTheme="minorEastAsia" w:eastAsiaTheme="minorEastAsia"/>
                <w:kern w:val="0"/>
                <w:szCs w:val="21"/>
                <w:highlight w:val="none"/>
                <w:lang w:bidi="zh-CN"/>
              </w:rPr>
            </w:pPr>
            <w:r>
              <w:rPr>
                <w:rFonts w:hint="eastAsia" w:cs="宋体" w:asciiTheme="minorEastAsia" w:hAnsiTheme="minorEastAsia" w:eastAsiaTheme="minorEastAsia"/>
                <w:kern w:val="0"/>
                <w:szCs w:val="21"/>
                <w:highlight w:val="none"/>
                <w:lang w:bidi="zh-CN"/>
              </w:rPr>
              <w:t>注：1.最高投标限价的计算依据为含税综合单价（即到场价）。</w:t>
            </w:r>
          </w:p>
          <w:p>
            <w:pPr>
              <w:autoSpaceDE w:val="0"/>
              <w:autoSpaceDN w:val="0"/>
              <w:spacing w:line="360" w:lineRule="exact"/>
              <w:ind w:firstLine="420" w:firstLineChars="200"/>
              <w:jc w:val="left"/>
              <w:rPr>
                <w:rFonts w:cs="宋体" w:asciiTheme="minorEastAsia" w:hAnsiTheme="minorEastAsia" w:eastAsiaTheme="minorEastAsia"/>
                <w:kern w:val="0"/>
                <w:szCs w:val="21"/>
                <w:highlight w:val="none"/>
                <w:lang w:bidi="zh-CN"/>
              </w:rPr>
            </w:pPr>
            <w:r>
              <w:rPr>
                <w:rFonts w:hint="eastAsia" w:cs="宋体" w:asciiTheme="minorEastAsia" w:hAnsiTheme="minorEastAsia" w:eastAsiaTheme="minorEastAsia"/>
                <w:kern w:val="0"/>
                <w:szCs w:val="21"/>
                <w:highlight w:val="none"/>
                <w:lang w:bidi="zh-CN"/>
              </w:rPr>
              <w:t>2.实际结算单价参见专用合同条款</w:t>
            </w:r>
            <w:r>
              <w:rPr>
                <w:rFonts w:hint="eastAsia" w:cs="宋体" w:asciiTheme="minorEastAsia" w:hAnsiTheme="minorEastAsia" w:eastAsiaTheme="minorEastAsia"/>
                <w:kern w:val="0"/>
                <w:szCs w:val="21"/>
                <w:highlight w:val="none"/>
                <w:lang w:val="zh-CN" w:bidi="zh-CN"/>
              </w:rPr>
              <w:t>第3.1</w:t>
            </w:r>
            <w:r>
              <w:rPr>
                <w:rFonts w:cs="宋体" w:asciiTheme="minorEastAsia" w:hAnsiTheme="minorEastAsia" w:eastAsiaTheme="minorEastAsia"/>
                <w:kern w:val="0"/>
                <w:szCs w:val="21"/>
                <w:highlight w:val="none"/>
                <w:lang w:val="zh-CN" w:bidi="zh-CN"/>
              </w:rPr>
              <w:t>项</w:t>
            </w:r>
            <w:r>
              <w:rPr>
                <w:rFonts w:hint="eastAsia" w:cs="宋体" w:asciiTheme="minorEastAsia" w:hAnsiTheme="minorEastAsia" w:eastAsiaTheme="minorEastAsia"/>
                <w:kern w:val="0"/>
                <w:szCs w:val="21"/>
                <w:highlight w:val="none"/>
                <w:lang w:val="zh-CN" w:bidi="zh-CN"/>
              </w:rPr>
              <w:t>。</w:t>
            </w:r>
          </w:p>
          <w:p>
            <w:pPr>
              <w:adjustRightInd w:val="0"/>
              <w:snapToGrid w:val="0"/>
              <w:spacing w:line="400" w:lineRule="exact"/>
              <w:ind w:left="105" w:leftChars="50" w:firstLine="315" w:firstLineChars="150"/>
              <w:rPr>
                <w:rFonts w:ascii="宋体" w:hAnsi="宋体"/>
                <w:b/>
                <w:color w:val="000000"/>
                <w:szCs w:val="21"/>
                <w:highlight w:val="none"/>
              </w:rPr>
            </w:pPr>
            <w:r>
              <w:rPr>
                <w:rFonts w:cs="宋体" w:asciiTheme="minorEastAsia" w:hAnsiTheme="minorEastAsia" w:eastAsiaTheme="minorEastAsia"/>
                <w:kern w:val="0"/>
                <w:szCs w:val="21"/>
                <w:highlight w:val="none"/>
                <w:lang w:bidi="zh-CN"/>
              </w:rPr>
              <w:t>3.</w:t>
            </w:r>
            <w:r>
              <w:rPr>
                <w:rFonts w:hint="eastAsia" w:cs="宋体" w:asciiTheme="minorEastAsia" w:hAnsiTheme="minorEastAsia" w:eastAsiaTheme="minorEastAsia"/>
                <w:kern w:val="0"/>
                <w:szCs w:val="21"/>
                <w:highlight w:val="none"/>
                <w:lang w:val="zh-CN" w:bidi="zh-CN"/>
              </w:rPr>
              <w:t>公布的最高投标限价作为投标人投标报价的控制上限，凡是投标报价超过最高投标限价的，其投标将被否决。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8</w:t>
            </w:r>
          </w:p>
        </w:tc>
        <w:tc>
          <w:tcPr>
            <w:tcW w:w="1879" w:type="dxa"/>
            <w:vAlign w:val="center"/>
          </w:tcPr>
          <w:p>
            <w:pPr>
              <w:pStyle w:val="100"/>
              <w:jc w:val="center"/>
              <w:rPr>
                <w:rFonts w:ascii="宋体" w:hAnsi="宋体"/>
                <w:b/>
                <w:color w:val="000000"/>
                <w:szCs w:val="21"/>
                <w:highlight w:val="none"/>
              </w:rPr>
            </w:pPr>
            <w:r>
              <w:rPr>
                <w:rFonts w:hint="eastAsia"/>
                <w:highlight w:val="none"/>
              </w:rPr>
              <w:t>投标报价的要求</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1）已标价报价清单的填写方式：投标人按照招标人“第四章响应文件格式”提供的报价清单格式填写，结算单价为到场综合单价（按照现有法律规定的增值税率计算的含税单价，若后期国家相关政策调整增值税率的，按照新的税率调整结算）。</w:t>
            </w:r>
          </w:p>
          <w:p>
            <w:pPr>
              <w:adjustRightInd w:val="0"/>
              <w:snapToGrid w:val="0"/>
              <w:spacing w:line="400" w:lineRule="exact"/>
              <w:ind w:left="105" w:leftChars="50"/>
              <w:rPr>
                <w:rFonts w:ascii="宋体" w:hAnsi="宋体"/>
                <w:szCs w:val="21"/>
                <w:highlight w:val="none"/>
              </w:rPr>
            </w:pPr>
            <w:r>
              <w:rPr>
                <w:rFonts w:hint="eastAsia" w:ascii="宋体" w:hAnsi="宋体"/>
                <w:color w:val="000000"/>
                <w:szCs w:val="21"/>
                <w:highlight w:val="none"/>
              </w:rPr>
              <w:t>（2）详见报价清单说明</w:t>
            </w:r>
            <w:r>
              <w:rPr>
                <w:rFonts w:ascii="宋体" w:hAnsi="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9" w:hRule="atLeast"/>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9</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联合体</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10</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招标方式</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678" w:type="dxa"/>
            <w:tcBorders>
              <w:bottom w:val="single" w:color="auto" w:sz="4" w:space="0"/>
            </w:tcBorders>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11</w:t>
            </w:r>
          </w:p>
        </w:tc>
        <w:tc>
          <w:tcPr>
            <w:tcW w:w="1879" w:type="dxa"/>
            <w:tcBorders>
              <w:bottom w:val="single" w:color="auto" w:sz="4" w:space="0"/>
            </w:tcBorders>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答疑会</w:t>
            </w:r>
          </w:p>
        </w:tc>
        <w:tc>
          <w:tcPr>
            <w:tcW w:w="6119" w:type="dxa"/>
            <w:tcBorders>
              <w:bottom w:val="single" w:color="auto" w:sz="4" w:space="0"/>
            </w:tcBorders>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2"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2</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lang w:val="zh-CN"/>
              </w:rPr>
              <w:t>谈判结果公告</w:t>
            </w:r>
          </w:p>
        </w:tc>
        <w:tc>
          <w:tcPr>
            <w:tcW w:w="6119" w:type="dxa"/>
            <w:vAlign w:val="center"/>
          </w:tcPr>
          <w:p>
            <w:pPr>
              <w:adjustRightInd w:val="0"/>
              <w:snapToGrid w:val="0"/>
              <w:spacing w:line="400" w:lineRule="exact"/>
              <w:rPr>
                <w:rFonts w:ascii="宋体" w:hAnsi="宋体" w:cs="宋体"/>
                <w:szCs w:val="21"/>
                <w:highlight w:val="none"/>
              </w:rPr>
            </w:pPr>
            <w:r>
              <w:rPr>
                <w:rFonts w:hint="eastAsia" w:ascii="宋体" w:hAnsi="宋体"/>
                <w:color w:val="000000"/>
                <w:szCs w:val="21"/>
                <w:highlight w:val="none"/>
                <w:lang w:val="zh-CN"/>
              </w:rPr>
              <w:t>谈判结果等在</w:t>
            </w:r>
            <w:r>
              <w:rPr>
                <w:rFonts w:hint="eastAsia" w:ascii="宋体" w:hAnsi="宋体" w:cs="宋体"/>
                <w:szCs w:val="21"/>
                <w:highlight w:val="none"/>
                <w:lang w:val="zh-CN" w:bidi="zh-CN"/>
              </w:rPr>
              <w:t>中国</w:t>
            </w:r>
            <w:r>
              <w:rPr>
                <w:rFonts w:ascii="宋体" w:hAnsi="宋体" w:cs="宋体"/>
                <w:szCs w:val="21"/>
                <w:highlight w:val="none"/>
                <w:lang w:val="zh-CN" w:bidi="zh-CN"/>
              </w:rPr>
              <w:t>采购与招标网</w:t>
            </w:r>
            <w:r>
              <w:rPr>
                <w:rFonts w:ascii="宋体" w:hAnsi="宋体" w:cs="宋体"/>
                <w:spacing w:val="-20"/>
                <w:szCs w:val="21"/>
                <w:highlight w:val="none"/>
                <w:lang w:bidi="zh-CN"/>
              </w:rPr>
              <w:t>（</w:t>
            </w:r>
            <w:r>
              <w:rPr>
                <w:rFonts w:ascii="宋体" w:hAnsi="宋体" w:cs="宋体"/>
                <w:spacing w:val="-20"/>
                <w:w w:val="95"/>
                <w:szCs w:val="21"/>
                <w:highlight w:val="none"/>
                <w:lang w:bidi="zh-CN"/>
              </w:rPr>
              <w:t>http://www.chinabidding.com.cn/</w:t>
            </w:r>
            <w:r>
              <w:rPr>
                <w:rFonts w:ascii="宋体" w:hAnsi="宋体" w:cs="宋体"/>
                <w:spacing w:val="-20"/>
                <w:w w:val="90"/>
                <w:szCs w:val="21"/>
                <w:highlight w:val="none"/>
                <w:lang w:bidi="zh-CN"/>
              </w:rPr>
              <w:t>）</w:t>
            </w:r>
            <w:r>
              <w:rPr>
                <w:rFonts w:hint="eastAsia" w:ascii="宋体" w:hAnsi="宋体" w:cs="宋体"/>
                <w:szCs w:val="21"/>
                <w:highlight w:val="none"/>
                <w:lang w:bidi="zh-CN"/>
              </w:rPr>
              <w:t>、</w:t>
            </w:r>
            <w:r>
              <w:rPr>
                <w:rFonts w:hint="eastAsia" w:ascii="宋体" w:hAnsi="宋体" w:cs="宋体"/>
                <w:kern w:val="0"/>
                <w:szCs w:val="21"/>
                <w:highlight w:val="none"/>
                <w:lang w:val="zh-CN" w:bidi="zh-CN"/>
              </w:rPr>
              <w:t>四川交通投资集团有限责任公司</w:t>
            </w:r>
            <w:r>
              <w:rPr>
                <w:rFonts w:hint="eastAsia" w:ascii="宋体" w:hAnsi="宋体" w:cs="宋体"/>
                <w:kern w:val="0"/>
                <w:szCs w:val="21"/>
                <w:highlight w:val="none"/>
                <w:lang w:bidi="zh-CN"/>
              </w:rPr>
              <w:t>(http://www.scjtgroup.com)</w:t>
            </w:r>
            <w:r>
              <w:rPr>
                <w:rFonts w:hint="eastAsia" w:ascii="宋体" w:hAnsi="宋体" w:cs="宋体"/>
                <w:kern w:val="0"/>
                <w:szCs w:val="21"/>
                <w:highlight w:val="none"/>
                <w:lang w:val="zh-CN" w:bidi="zh-CN"/>
              </w:rPr>
              <w:t>和四川交投物流有限公司网站</w:t>
            </w:r>
            <w:r>
              <w:rPr>
                <w:rFonts w:hint="eastAsia" w:ascii="宋体" w:hAnsi="宋体" w:cs="宋体"/>
                <w:kern w:val="0"/>
                <w:szCs w:val="21"/>
                <w:highlight w:val="none"/>
                <w:lang w:bidi="zh-CN"/>
              </w:rPr>
              <w:t>（http://www.scjt-wl.com/）</w:t>
            </w:r>
            <w:r>
              <w:rPr>
                <w:rFonts w:hint="eastAsia" w:ascii="宋体" w:hAnsi="宋体" w:cs="宋体"/>
                <w:kern w:val="0"/>
                <w:szCs w:val="21"/>
                <w:highlight w:val="none"/>
                <w:lang w:val="zh-CN" w:bidi="zh-CN"/>
              </w:rPr>
              <w:t>和四川交投智</w:t>
            </w:r>
            <w:r>
              <w:rPr>
                <w:rFonts w:ascii="宋体" w:hAnsi="宋体" w:cs="宋体"/>
                <w:kern w:val="0"/>
                <w:szCs w:val="21"/>
                <w:highlight w:val="none"/>
                <w:lang w:val="zh-CN" w:bidi="zh-CN"/>
              </w:rPr>
              <w:t>采</w:t>
            </w:r>
            <w:r>
              <w:rPr>
                <w:rFonts w:hint="eastAsia" w:ascii="宋体" w:hAnsi="宋体" w:cs="宋体"/>
                <w:kern w:val="0"/>
                <w:szCs w:val="21"/>
                <w:highlight w:val="none"/>
                <w:lang w:val="zh-CN" w:bidi="zh-CN"/>
              </w:rPr>
              <w:t>平台</w:t>
            </w:r>
            <w:r>
              <w:rPr>
                <w:rFonts w:hint="eastAsia" w:ascii="宋体" w:hAnsi="宋体" w:cs="宋体"/>
                <w:kern w:val="0"/>
                <w:szCs w:val="21"/>
                <w:highlight w:val="none"/>
                <w:lang w:bidi="zh-CN"/>
              </w:rPr>
              <w:t>（http:// scjt</w:t>
            </w:r>
            <w:r>
              <w:rPr>
                <w:rFonts w:ascii="宋体" w:hAnsi="宋体" w:cs="宋体"/>
                <w:kern w:val="0"/>
                <w:szCs w:val="21"/>
                <w:highlight w:val="none"/>
                <w:lang w:bidi="zh-CN"/>
              </w:rPr>
              <w:t>.pauct</w:t>
            </w:r>
            <w:r>
              <w:rPr>
                <w:rFonts w:hint="eastAsia" w:ascii="宋体" w:hAnsi="宋体" w:cs="宋体"/>
                <w:kern w:val="0"/>
                <w:szCs w:val="21"/>
                <w:highlight w:val="none"/>
                <w:lang w:bidi="zh-CN"/>
              </w:rPr>
              <w:t>.com/）</w:t>
            </w:r>
            <w:r>
              <w:rPr>
                <w:rFonts w:ascii="宋体" w:hAnsi="宋体" w:cs="宋体"/>
                <w:kern w:val="0"/>
                <w:szCs w:val="21"/>
                <w:highlight w:val="none"/>
                <w:lang w:val="zh-CN" w:bidi="zh-CN"/>
              </w:rPr>
              <w:t>上发布</w:t>
            </w:r>
            <w:r>
              <w:rPr>
                <w:rFonts w:hint="eastAsia" w:ascii="宋体" w:hAnsi="宋体" w:cs="宋体"/>
                <w:szCs w:val="21"/>
                <w:highlight w:val="none"/>
                <w:lang w:bidi="zh-CN"/>
              </w:rPr>
              <w:t>，</w:t>
            </w:r>
            <w:r>
              <w:rPr>
                <w:rFonts w:hint="eastAsia" w:ascii="宋体" w:hAnsi="宋体" w:cs="宋体"/>
                <w:szCs w:val="21"/>
                <w:highlight w:val="none"/>
                <w:lang w:val="zh-CN" w:bidi="zh-CN"/>
              </w:rPr>
              <w:t>且公示</w:t>
            </w:r>
            <w:r>
              <w:rPr>
                <w:rFonts w:hint="eastAsia" w:ascii="宋体" w:hAnsi="宋体" w:cs="宋体"/>
                <w:szCs w:val="21"/>
                <w:highlight w:val="none"/>
                <w:lang w:bidi="zh-CN"/>
              </w:rPr>
              <w:t>3</w:t>
            </w:r>
            <w:r>
              <w:rPr>
                <w:rFonts w:hint="eastAsia" w:ascii="宋体" w:hAnsi="宋体" w:cs="宋体"/>
                <w:szCs w:val="21"/>
                <w:highlight w:val="none"/>
                <w:lang w:val="zh-CN" w:bidi="zh-CN"/>
              </w:rPr>
              <w:t>个工作日</w:t>
            </w:r>
            <w:r>
              <w:rPr>
                <w:rFonts w:hint="eastAsia" w:ascii="宋体" w:hAnsi="宋体"/>
                <w:color w:val="000000"/>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3</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000000"/>
                <w:szCs w:val="21"/>
                <w:highlight w:val="none"/>
                <w:lang w:val="zh-CN"/>
              </w:rPr>
            </w:pPr>
            <w:r>
              <w:rPr>
                <w:rFonts w:hint="eastAsia" w:ascii="宋体" w:hAnsi="宋体"/>
                <w:color w:val="000000"/>
                <w:szCs w:val="21"/>
                <w:highlight w:val="none"/>
              </w:rPr>
              <w:t>谈判保证金</w:t>
            </w:r>
          </w:p>
        </w:tc>
        <w:tc>
          <w:tcPr>
            <w:tcW w:w="6119" w:type="dxa"/>
            <w:vAlign w:val="center"/>
          </w:tcPr>
          <w:p>
            <w:pPr>
              <w:spacing w:line="400" w:lineRule="exact"/>
              <w:ind w:left="120" w:leftChars="57"/>
              <w:rPr>
                <w:rFonts w:ascii="宋体" w:hAnsi="宋体" w:cs="宋体"/>
                <w:szCs w:val="21"/>
                <w:highlight w:val="none"/>
              </w:rPr>
            </w:pPr>
            <w:r>
              <w:rPr>
                <w:rFonts w:hint="eastAsia" w:ascii="宋体" w:hAnsi="宋体" w:cs="宋体"/>
                <w:szCs w:val="21"/>
                <w:highlight w:val="none"/>
              </w:rPr>
              <w:t>（1）谈判保证金的金额：人民币</w:t>
            </w:r>
            <w:r>
              <w:rPr>
                <w:rFonts w:ascii="宋体" w:hAnsi="宋体" w:cs="宋体"/>
                <w:szCs w:val="21"/>
                <w:highlight w:val="none"/>
              </w:rPr>
              <w:t>2</w:t>
            </w:r>
            <w:r>
              <w:rPr>
                <w:rFonts w:hint="eastAsia" w:ascii="宋体" w:hAnsi="宋体" w:cs="宋体"/>
                <w:szCs w:val="21"/>
                <w:highlight w:val="none"/>
              </w:rPr>
              <w:t>0万元整</w:t>
            </w:r>
          </w:p>
          <w:p>
            <w:pPr>
              <w:spacing w:line="400" w:lineRule="exact"/>
              <w:ind w:left="120" w:leftChars="57"/>
              <w:rPr>
                <w:rFonts w:ascii="宋体" w:hAnsi="宋体" w:cs="宋体"/>
                <w:szCs w:val="21"/>
                <w:highlight w:val="none"/>
              </w:rPr>
            </w:pPr>
            <w:r>
              <w:rPr>
                <w:rFonts w:hint="eastAsia" w:ascii="宋体" w:hAnsi="宋体" w:cs="宋体"/>
                <w:szCs w:val="21"/>
                <w:highlight w:val="none"/>
              </w:rPr>
              <w:t>（2）谈判保证金的形式：现金或保函形式</w:t>
            </w:r>
          </w:p>
          <w:p>
            <w:pPr>
              <w:spacing w:line="400" w:lineRule="exact"/>
              <w:ind w:left="120" w:leftChars="57"/>
              <w:rPr>
                <w:rFonts w:ascii="宋体" w:hAnsi="宋体" w:cs="宋体"/>
                <w:szCs w:val="21"/>
                <w:highlight w:val="none"/>
              </w:rPr>
            </w:pPr>
            <w:r>
              <w:rPr>
                <w:rFonts w:hint="eastAsia" w:ascii="宋体" w:hAnsi="宋体" w:cs="宋体"/>
                <w:szCs w:val="21"/>
                <w:highlight w:val="none"/>
              </w:rPr>
              <w:t>A.采用现金</w:t>
            </w:r>
            <w:r>
              <w:rPr>
                <w:rFonts w:ascii="宋体" w:hAnsi="宋体" w:cs="宋体"/>
                <w:szCs w:val="21"/>
                <w:highlight w:val="none"/>
              </w:rPr>
              <w:t>方式的</w:t>
            </w:r>
            <w:r>
              <w:rPr>
                <w:rFonts w:hint="eastAsia" w:ascii="宋体" w:hAnsi="宋体" w:cs="宋体"/>
                <w:szCs w:val="21"/>
                <w:highlight w:val="none"/>
              </w:rPr>
              <w:t>：投标人应通过银行电汇或现金转账方式由投标人的基本账户转入招标人指定的账户，且须在投标截止时间前（宜在投标截止期前一天）到账。投标人须将电汇回执单或现金转账凭证扫描件装入响应文件。汇款时请注明：</w:t>
            </w:r>
            <w:r>
              <w:rPr>
                <w:rFonts w:hint="eastAsia" w:ascii="宋体" w:hAnsi="宋体"/>
                <w:szCs w:val="21"/>
                <w:highlight w:val="none"/>
              </w:rPr>
              <w:t>G4216线屏山新市至金阳段、金阳至宁南段高速公路项目2021～</w:t>
            </w:r>
            <w:r>
              <w:rPr>
                <w:rFonts w:ascii="宋体" w:hAnsi="宋体"/>
                <w:szCs w:val="21"/>
                <w:highlight w:val="none"/>
              </w:rPr>
              <w:t>2022</w:t>
            </w:r>
            <w:r>
              <w:rPr>
                <w:rFonts w:hint="eastAsia" w:ascii="宋体" w:hAnsi="宋体"/>
                <w:szCs w:val="21"/>
                <w:highlight w:val="none"/>
              </w:rPr>
              <w:t>年度</w:t>
            </w:r>
            <w:r>
              <w:rPr>
                <w:rFonts w:hint="eastAsia" w:ascii="宋体" w:hAnsi="宋体" w:cs="宋体"/>
                <w:szCs w:val="21"/>
                <w:highlight w:val="none"/>
              </w:rPr>
              <w:t>钢材船舶运输服务（第三次）</w:t>
            </w:r>
            <w:r>
              <w:rPr>
                <w:rFonts w:ascii="宋体" w:hAnsi="宋体" w:cs="宋体"/>
                <w:szCs w:val="21"/>
                <w:highlight w:val="none"/>
              </w:rPr>
              <w:t>招标GCYS</w:t>
            </w:r>
            <w:r>
              <w:rPr>
                <w:rFonts w:hint="eastAsia" w:ascii="宋体" w:hAnsi="宋体" w:cs="宋体"/>
                <w:szCs w:val="21"/>
                <w:highlight w:val="none"/>
              </w:rPr>
              <w:t>标段谈判保证金。</w:t>
            </w:r>
          </w:p>
          <w:p>
            <w:pPr>
              <w:spacing w:line="400" w:lineRule="exact"/>
              <w:ind w:left="120" w:leftChars="57"/>
              <w:rPr>
                <w:rFonts w:ascii="宋体" w:hAnsi="宋体" w:cs="宋体"/>
                <w:szCs w:val="21"/>
                <w:highlight w:val="none"/>
              </w:rPr>
            </w:pPr>
            <w:r>
              <w:rPr>
                <w:rFonts w:hint="eastAsia" w:ascii="宋体" w:hAnsi="宋体" w:cs="宋体"/>
                <w:szCs w:val="21"/>
                <w:highlight w:val="none"/>
              </w:rPr>
              <w:t>招标人指定的开户银行及账号如下：</w:t>
            </w:r>
            <w:r>
              <w:rPr>
                <w:rFonts w:ascii="宋体" w:hAnsi="宋体" w:cs="宋体"/>
                <w:szCs w:val="21"/>
                <w:highlight w:val="none"/>
              </w:rPr>
              <w:t xml:space="preserve"> </w:t>
            </w:r>
          </w:p>
          <w:p>
            <w:pPr>
              <w:spacing w:line="400" w:lineRule="exact"/>
              <w:ind w:left="120" w:leftChars="57"/>
              <w:rPr>
                <w:rFonts w:ascii="宋体" w:hAnsi="宋体" w:cs="宋体"/>
                <w:szCs w:val="21"/>
                <w:highlight w:val="none"/>
              </w:rPr>
            </w:pPr>
            <w:r>
              <w:rPr>
                <w:rFonts w:hint="eastAsia" w:ascii="宋体" w:hAnsi="宋体" w:cs="宋体"/>
                <w:szCs w:val="21"/>
                <w:highlight w:val="none"/>
              </w:rPr>
              <w:t xml:space="preserve">户    名： 四川交投物流有限公司 </w:t>
            </w:r>
          </w:p>
          <w:p>
            <w:pPr>
              <w:spacing w:line="400" w:lineRule="exact"/>
              <w:ind w:left="120" w:leftChars="57"/>
              <w:rPr>
                <w:rFonts w:ascii="宋体" w:hAnsi="宋体" w:cs="宋体"/>
                <w:szCs w:val="21"/>
                <w:highlight w:val="none"/>
              </w:rPr>
            </w:pPr>
            <w:r>
              <w:rPr>
                <w:rFonts w:hint="eastAsia" w:ascii="宋体" w:hAnsi="宋体" w:cs="宋体"/>
                <w:szCs w:val="21"/>
                <w:highlight w:val="none"/>
              </w:rPr>
              <w:t>开户银行：交通银行成都磨子桥支行</w:t>
            </w:r>
          </w:p>
          <w:p>
            <w:pPr>
              <w:spacing w:line="400" w:lineRule="exact"/>
              <w:ind w:left="120" w:leftChars="57"/>
              <w:rPr>
                <w:rFonts w:ascii="宋体" w:hAnsi="宋体" w:cs="宋体"/>
                <w:szCs w:val="21"/>
                <w:highlight w:val="none"/>
              </w:rPr>
            </w:pPr>
            <w:r>
              <w:rPr>
                <w:rFonts w:hint="eastAsia" w:ascii="宋体" w:hAnsi="宋体" w:cs="宋体"/>
                <w:szCs w:val="21"/>
                <w:highlight w:val="none"/>
              </w:rPr>
              <w:t>账    号：</w:t>
            </w:r>
            <w:r>
              <w:rPr>
                <w:rFonts w:ascii="宋体" w:hAnsi="宋体" w:cs="宋体"/>
                <w:szCs w:val="21"/>
                <w:highlight w:val="none"/>
              </w:rPr>
              <w:t>511899991010003174516</w:t>
            </w:r>
          </w:p>
          <w:p>
            <w:pPr>
              <w:spacing w:line="400" w:lineRule="exact"/>
              <w:ind w:left="120" w:leftChars="57"/>
              <w:rPr>
                <w:rFonts w:ascii="宋体" w:hAnsi="宋体" w:cs="宋体"/>
                <w:szCs w:val="21"/>
                <w:highlight w:val="none"/>
              </w:rPr>
            </w:pPr>
            <w:r>
              <w:rPr>
                <w:rFonts w:hint="eastAsia" w:ascii="宋体" w:hAnsi="宋体" w:cs="宋体"/>
                <w:szCs w:val="21"/>
                <w:highlight w:val="none"/>
              </w:rPr>
              <w:t>B.</w:t>
            </w:r>
            <w:r>
              <w:rPr>
                <w:rFonts w:ascii="宋体" w:hAnsi="宋体" w:cs="宋体"/>
                <w:szCs w:val="21"/>
                <w:highlight w:val="none"/>
              </w:rPr>
              <w:t xml:space="preserve"> </w:t>
            </w:r>
            <w:r>
              <w:rPr>
                <w:rFonts w:hint="eastAsia" w:ascii="宋体" w:hAnsi="宋体" w:cs="宋体"/>
                <w:szCs w:val="21"/>
                <w:highlight w:val="none"/>
              </w:rPr>
              <w:t>谈判保证金采用银行保函形式的，银行保函由投标人开立基本账户的银行出具。如投标人开立基本账户的银行不能出具银行保函，则由该银行系统内其他支行及以上银行出具。</w:t>
            </w:r>
          </w:p>
          <w:p>
            <w:pPr>
              <w:spacing w:line="400" w:lineRule="exact"/>
              <w:ind w:left="120" w:leftChars="57"/>
              <w:jc w:val="left"/>
              <w:rPr>
                <w:rFonts w:ascii="宋体" w:hAnsi="宋体" w:cs="宋体"/>
                <w:szCs w:val="21"/>
                <w:highlight w:val="none"/>
              </w:rPr>
            </w:pPr>
            <w:r>
              <w:rPr>
                <w:rFonts w:hint="eastAsia" w:ascii="宋体" w:hAnsi="宋体" w:cs="宋体"/>
                <w:szCs w:val="21"/>
                <w:highlight w:val="none"/>
              </w:rPr>
              <w:t>银行保函应采用竞争性谈判文件提供的格式，若采用银行自有格式，其提交的银行保函内容不得对担保金额、担保范围、担保期限、担保内容作出实质性修改。保函有效期至少应包含投标有效期。招标人如果按本章正文第</w:t>
            </w:r>
            <w:r>
              <w:rPr>
                <w:rFonts w:ascii="宋体" w:hAnsi="宋体" w:cs="宋体"/>
                <w:szCs w:val="21"/>
                <w:highlight w:val="none"/>
              </w:rPr>
              <w:t>16.2</w:t>
            </w:r>
            <w:r>
              <w:rPr>
                <w:rFonts w:hint="eastAsia" w:ascii="宋体" w:hAnsi="宋体" w:cs="宋体"/>
                <w:szCs w:val="21"/>
                <w:highlight w:val="none"/>
              </w:rPr>
              <w:t>款的规定延长了投标有效期，则谈判保证金的有效期也相应延长。</w:t>
            </w:r>
          </w:p>
          <w:p>
            <w:pPr>
              <w:spacing w:line="400" w:lineRule="exact"/>
              <w:ind w:left="120" w:leftChars="57"/>
              <w:jc w:val="left"/>
              <w:rPr>
                <w:rFonts w:ascii="宋体" w:hAnsi="宋体" w:cs="宋体"/>
                <w:szCs w:val="21"/>
                <w:highlight w:val="none"/>
              </w:rPr>
            </w:pPr>
            <w:r>
              <w:rPr>
                <w:rFonts w:hint="eastAsia" w:ascii="宋体" w:hAnsi="宋体" w:cs="宋体"/>
                <w:szCs w:val="21"/>
                <w:highlight w:val="none"/>
              </w:rPr>
              <w:t>（3）谈判保证金的提交：银行保函原件单独密封提交，与竞争性谈判文件一起开封；银行保函的影印件（彩色或黑白）应装订在竞争性谈判文件正本之中。</w:t>
            </w:r>
          </w:p>
          <w:p>
            <w:pPr>
              <w:numPr>
                <w:ilvl w:val="0"/>
                <w:numId w:val="2"/>
              </w:numPr>
              <w:spacing w:line="400" w:lineRule="exact"/>
              <w:ind w:left="120" w:leftChars="57"/>
              <w:rPr>
                <w:rFonts w:ascii="宋体" w:hAnsi="宋体" w:cs="宋体"/>
                <w:szCs w:val="21"/>
                <w:highlight w:val="none"/>
              </w:rPr>
            </w:pPr>
            <w:r>
              <w:rPr>
                <w:rFonts w:hint="eastAsia" w:ascii="宋体" w:hAnsi="宋体" w:cs="宋体"/>
                <w:szCs w:val="21"/>
                <w:highlight w:val="none"/>
              </w:rPr>
              <w:t>投标人所交纳的谈判保证金（现金方式）不计利息。</w:t>
            </w:r>
          </w:p>
          <w:p>
            <w:pPr>
              <w:numPr>
                <w:ilvl w:val="0"/>
                <w:numId w:val="2"/>
              </w:numPr>
              <w:spacing w:line="400" w:lineRule="exact"/>
              <w:ind w:left="120" w:leftChars="57"/>
              <w:rPr>
                <w:rFonts w:ascii="宋体" w:hAnsi="宋体" w:cs="宋体"/>
                <w:szCs w:val="21"/>
                <w:highlight w:val="none"/>
              </w:rPr>
            </w:pPr>
            <w:r>
              <w:rPr>
                <w:rFonts w:hint="eastAsia" w:ascii="宋体" w:hAnsi="宋体" w:cs="宋体"/>
                <w:szCs w:val="21"/>
                <w:highlight w:val="none"/>
              </w:rPr>
              <w:t>谈判保证金的</w:t>
            </w:r>
            <w:r>
              <w:rPr>
                <w:rFonts w:ascii="宋体" w:hAnsi="宋体" w:cs="宋体"/>
                <w:szCs w:val="21"/>
                <w:highlight w:val="none"/>
              </w:rPr>
              <w:t xml:space="preserve">退还： </w:t>
            </w:r>
          </w:p>
          <w:p>
            <w:pPr>
              <w:adjustRightInd w:val="0"/>
              <w:snapToGrid w:val="0"/>
              <w:spacing w:line="400" w:lineRule="exact"/>
              <w:ind w:left="120" w:leftChars="57" w:firstLine="315" w:firstLineChars="150"/>
              <w:rPr>
                <w:rFonts w:ascii="宋体" w:hAnsi="宋体" w:cs="宋体"/>
                <w:szCs w:val="21"/>
                <w:highlight w:val="none"/>
              </w:rPr>
            </w:pPr>
            <w:r>
              <w:rPr>
                <w:rFonts w:hint="eastAsia" w:ascii="宋体" w:hAnsi="宋体" w:cs="宋体"/>
                <w:szCs w:val="21"/>
                <w:highlight w:val="none"/>
              </w:rPr>
              <w:t>A.未成交投标人的谈判保证金，将在成交通知书发出后五个工作日内全额退还。成交投标人的谈判保证金，在合同签订生效后五个工作日内全额退还。</w:t>
            </w:r>
          </w:p>
          <w:p>
            <w:pPr>
              <w:pStyle w:val="21"/>
              <w:adjustRightInd w:val="0"/>
              <w:snapToGrid w:val="0"/>
              <w:spacing w:line="400" w:lineRule="exact"/>
              <w:ind w:firstLine="420" w:firstLineChars="200"/>
              <w:rPr>
                <w:rFonts w:hAnsi="宋体" w:cs="宋体"/>
                <w:sz w:val="21"/>
                <w:szCs w:val="21"/>
                <w:highlight w:val="none"/>
              </w:rPr>
            </w:pPr>
            <w:r>
              <w:rPr>
                <w:rFonts w:hint="eastAsia" w:hAnsi="宋体" w:cs="宋体"/>
                <w:sz w:val="21"/>
                <w:szCs w:val="21"/>
                <w:highlight w:val="none"/>
              </w:rPr>
              <w:t>B.银行保函由投标人法定代表人或其委托代理人本人凭单位介绍信、身份证原件、加盖投标人单位章的银行保函收条在招标人处领取。</w:t>
            </w:r>
          </w:p>
          <w:p>
            <w:pPr>
              <w:pStyle w:val="21"/>
              <w:adjustRightInd w:val="0"/>
              <w:snapToGrid w:val="0"/>
              <w:spacing w:line="400" w:lineRule="exact"/>
              <w:ind w:firstLine="420" w:firstLineChars="200"/>
              <w:rPr>
                <w:rFonts w:hAnsi="宋体" w:cs="宋体"/>
                <w:sz w:val="21"/>
                <w:szCs w:val="21"/>
                <w:highlight w:val="none"/>
                <w:lang w:bidi="ar"/>
              </w:rPr>
            </w:pPr>
            <w:r>
              <w:rPr>
                <w:rFonts w:hint="eastAsia" w:hAnsi="宋体" w:cs="宋体"/>
                <w:sz w:val="21"/>
                <w:szCs w:val="21"/>
                <w:highlight w:val="none"/>
              </w:rPr>
              <w:t>采用现金形式的：</w:t>
            </w:r>
            <w:r>
              <w:rPr>
                <w:rFonts w:hint="eastAsia" w:hAnsi="宋体" w:cs="宋体"/>
                <w:sz w:val="21"/>
                <w:szCs w:val="21"/>
                <w:highlight w:val="none"/>
                <w:lang w:bidi="ar"/>
              </w:rPr>
              <w:t>凭投标人单位介绍信及退还申请函和投标人</w:t>
            </w:r>
            <w:r>
              <w:rPr>
                <w:rFonts w:hAnsi="宋体" w:cs="宋体"/>
                <w:sz w:val="21"/>
                <w:szCs w:val="21"/>
                <w:highlight w:val="none"/>
                <w:lang w:bidi="ar"/>
              </w:rPr>
              <w:t>开具的</w:t>
            </w:r>
            <w:r>
              <w:rPr>
                <w:rFonts w:hint="eastAsia" w:hAnsi="宋体" w:cs="宋体"/>
                <w:sz w:val="21"/>
                <w:szCs w:val="21"/>
                <w:highlight w:val="none"/>
                <w:lang w:bidi="ar"/>
              </w:rPr>
              <w:t>收到</w:t>
            </w:r>
            <w:r>
              <w:rPr>
                <w:rFonts w:hAnsi="宋体" w:cs="宋体"/>
                <w:sz w:val="21"/>
                <w:szCs w:val="21"/>
                <w:highlight w:val="none"/>
                <w:lang w:bidi="ar"/>
              </w:rPr>
              <w:t>投标保证金</w:t>
            </w:r>
            <w:r>
              <w:rPr>
                <w:rFonts w:hint="eastAsia" w:hAnsi="宋体" w:cs="宋体"/>
                <w:sz w:val="21"/>
                <w:szCs w:val="21"/>
                <w:highlight w:val="none"/>
                <w:lang w:bidi="ar"/>
              </w:rPr>
              <w:t>的收据，在招标人处</w:t>
            </w:r>
            <w:r>
              <w:rPr>
                <w:rFonts w:hAnsi="宋体" w:cs="宋体"/>
                <w:sz w:val="21"/>
                <w:szCs w:val="21"/>
                <w:highlight w:val="none"/>
                <w:lang w:bidi="ar"/>
              </w:rPr>
              <w:t>办理退还手续后，</w:t>
            </w:r>
            <w:r>
              <w:rPr>
                <w:rFonts w:hint="eastAsia" w:hAnsi="宋体" w:cs="宋体"/>
                <w:sz w:val="21"/>
                <w:szCs w:val="21"/>
                <w:highlight w:val="none"/>
                <w:lang w:bidi="ar"/>
              </w:rPr>
              <w:t>退还至投标人的汇款帐户；</w:t>
            </w:r>
          </w:p>
          <w:p>
            <w:pPr>
              <w:adjustRightInd w:val="0"/>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C</w:t>
            </w:r>
            <w:r>
              <w:rPr>
                <w:rFonts w:ascii="宋体" w:hAnsi="宋体" w:cs="宋体"/>
                <w:szCs w:val="21"/>
                <w:highlight w:val="none"/>
              </w:rPr>
              <w:t>.</w:t>
            </w:r>
            <w:r>
              <w:rPr>
                <w:rFonts w:hint="eastAsia" w:ascii="宋体" w:hAnsi="宋体" w:cs="宋体"/>
                <w:szCs w:val="21"/>
                <w:highlight w:val="none"/>
              </w:rPr>
              <w:t>办理退还手续地址：成都市锦江区三色路银海芯座B栋22层2223室</w:t>
            </w:r>
          </w:p>
          <w:p>
            <w:pPr>
              <w:adjustRightInd w:val="0"/>
              <w:snapToGrid w:val="0"/>
              <w:spacing w:line="400" w:lineRule="exact"/>
              <w:ind w:left="120" w:leftChars="57" w:firstLine="315" w:firstLineChars="150"/>
              <w:rPr>
                <w:rFonts w:ascii="宋体" w:hAnsi="宋体" w:cs="宋体"/>
                <w:szCs w:val="21"/>
                <w:highlight w:val="none"/>
              </w:rPr>
            </w:pPr>
            <w:r>
              <w:rPr>
                <w:rFonts w:hint="eastAsia" w:ascii="宋体" w:hAnsi="宋体" w:cs="宋体"/>
                <w:szCs w:val="21"/>
                <w:highlight w:val="none"/>
              </w:rPr>
              <w:t>D</w:t>
            </w:r>
            <w:r>
              <w:rPr>
                <w:rFonts w:ascii="宋体" w:hAnsi="宋体" w:cs="宋体"/>
                <w:szCs w:val="21"/>
                <w:highlight w:val="none"/>
              </w:rPr>
              <w:t>.</w:t>
            </w:r>
            <w:r>
              <w:rPr>
                <w:rFonts w:hint="eastAsia" w:ascii="宋体" w:hAnsi="宋体" w:cs="宋体"/>
                <w:szCs w:val="21"/>
                <w:highlight w:val="none"/>
              </w:rPr>
              <w:t>因投标人自身原因造成的保证金延迟退还，招标人不承担相应责任。</w:t>
            </w:r>
          </w:p>
          <w:p>
            <w:pPr>
              <w:adjustRightInd w:val="0"/>
              <w:snapToGrid w:val="0"/>
              <w:spacing w:line="400" w:lineRule="exact"/>
              <w:ind w:left="120" w:leftChars="57" w:firstLine="315" w:firstLineChars="150"/>
              <w:rPr>
                <w:rFonts w:ascii="宋体" w:hAnsi="宋体"/>
                <w:color w:val="000000"/>
                <w:szCs w:val="21"/>
                <w:highlight w:val="none"/>
              </w:rPr>
            </w:pPr>
            <w:r>
              <w:rPr>
                <w:rFonts w:ascii="宋体" w:hAnsi="宋体" w:cs="宋体"/>
                <w:szCs w:val="21"/>
                <w:highlight w:val="none"/>
              </w:rPr>
              <w:t>E.</w:t>
            </w:r>
            <w:r>
              <w:rPr>
                <w:rFonts w:hint="eastAsia" w:ascii="宋体" w:hAnsi="宋体" w:cs="宋体"/>
                <w:szCs w:val="21"/>
                <w:highlight w:val="none"/>
              </w:rPr>
              <w:t>投标人存在须知正文15.3款</w:t>
            </w:r>
            <w:r>
              <w:rPr>
                <w:rFonts w:ascii="宋体" w:hAnsi="宋体" w:cs="宋体"/>
                <w:szCs w:val="21"/>
                <w:highlight w:val="none"/>
              </w:rPr>
              <w:t>情形的</w:t>
            </w:r>
            <w:r>
              <w:rPr>
                <w:rFonts w:hint="eastAsia" w:ascii="宋体" w:hAnsi="宋体" w:cs="宋体"/>
                <w:szCs w:val="21"/>
                <w:highlight w:val="none"/>
              </w:rPr>
              <w:t>不予退还保证金。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14</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构成竞争性谈判文件的其他文件</w:t>
            </w:r>
          </w:p>
        </w:tc>
        <w:tc>
          <w:tcPr>
            <w:tcW w:w="6119" w:type="dxa"/>
            <w:vAlign w:val="center"/>
          </w:tcPr>
          <w:p>
            <w:pPr>
              <w:adjustRightInd w:val="0"/>
              <w:snapToGrid w:val="0"/>
              <w:spacing w:line="400" w:lineRule="exact"/>
              <w:ind w:left="105" w:hanging="105" w:hangingChars="50"/>
              <w:rPr>
                <w:rFonts w:ascii="宋体" w:hAnsi="宋体"/>
                <w:color w:val="000000"/>
                <w:szCs w:val="21"/>
                <w:highlight w:val="none"/>
              </w:rPr>
            </w:pPr>
            <w:r>
              <w:rPr>
                <w:rFonts w:hint="eastAsia" w:ascii="宋体" w:hAnsi="宋体"/>
                <w:color w:val="000000"/>
                <w:szCs w:val="21"/>
                <w:highlight w:val="none"/>
              </w:rPr>
              <w:t xml:space="preserve"> 竞争性谈判文件的澄清、修改为竞争性谈判文件的有效组成部分。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0" w:hRule="atLeast"/>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15</w:t>
            </w:r>
          </w:p>
        </w:tc>
        <w:tc>
          <w:tcPr>
            <w:tcW w:w="1879" w:type="dxa"/>
            <w:vAlign w:val="center"/>
          </w:tcPr>
          <w:p>
            <w:pPr>
              <w:adjustRightInd w:val="0"/>
              <w:snapToGrid w:val="0"/>
              <w:spacing w:line="400" w:lineRule="exact"/>
              <w:ind w:left="105" w:hanging="105" w:hangingChars="50"/>
              <w:jc w:val="center"/>
              <w:rPr>
                <w:rFonts w:ascii="宋体" w:hAnsi="宋体"/>
                <w:color w:val="000000"/>
                <w:szCs w:val="21"/>
                <w:highlight w:val="none"/>
              </w:rPr>
            </w:pPr>
            <w:r>
              <w:rPr>
                <w:rFonts w:hint="eastAsia" w:ascii="宋体" w:hAnsi="宋体"/>
                <w:color w:val="000000"/>
                <w:szCs w:val="21"/>
                <w:highlight w:val="none"/>
              </w:rPr>
              <w:t>竞争性谈判文件的澄清或修改</w:t>
            </w:r>
          </w:p>
        </w:tc>
        <w:tc>
          <w:tcPr>
            <w:tcW w:w="6119" w:type="dxa"/>
            <w:vAlign w:val="center"/>
          </w:tcPr>
          <w:p>
            <w:pPr>
              <w:autoSpaceDE w:val="0"/>
              <w:autoSpaceDN w:val="0"/>
              <w:adjustRightInd w:val="0"/>
              <w:snapToGrid w:val="0"/>
              <w:spacing w:line="360" w:lineRule="auto"/>
              <w:ind w:firstLine="420" w:firstLineChars="200"/>
              <w:rPr>
                <w:rFonts w:ascii="宋体" w:hAnsi="宋体" w:cs="宋体"/>
                <w:kern w:val="0"/>
                <w:szCs w:val="21"/>
                <w:highlight w:val="none"/>
                <w:lang w:bidi="zh-CN"/>
              </w:rPr>
            </w:pPr>
            <w:r>
              <w:rPr>
                <w:rFonts w:hint="eastAsia" w:ascii="宋体" w:hAnsi="宋体" w:cs="宋体"/>
                <w:kern w:val="0"/>
                <w:szCs w:val="21"/>
                <w:highlight w:val="none"/>
                <w:lang w:val="zh-CN" w:bidi="zh-CN"/>
              </w:rPr>
              <w:t>竞争性谈判文件</w:t>
            </w:r>
            <w:r>
              <w:rPr>
                <w:rFonts w:ascii="宋体" w:hAnsi="宋体" w:cs="宋体"/>
                <w:kern w:val="0"/>
                <w:szCs w:val="21"/>
                <w:highlight w:val="none"/>
                <w:lang w:val="zh-CN" w:bidi="zh-CN"/>
              </w:rPr>
              <w:t>的</w:t>
            </w:r>
            <w:r>
              <w:rPr>
                <w:rFonts w:hint="eastAsia" w:ascii="宋体" w:hAnsi="宋体"/>
                <w:color w:val="000000"/>
                <w:szCs w:val="21"/>
                <w:highlight w:val="none"/>
              </w:rPr>
              <w:t>澄清和修改（如有）</w:t>
            </w:r>
            <w:r>
              <w:rPr>
                <w:rFonts w:hint="eastAsia" w:ascii="宋体" w:hAnsi="宋体" w:cs="宋体"/>
                <w:kern w:val="0"/>
                <w:szCs w:val="21"/>
                <w:highlight w:val="none"/>
                <w:lang w:val="zh-CN" w:bidi="zh-CN"/>
              </w:rPr>
              <w:t>由投标人在四川交投智</w:t>
            </w:r>
            <w:r>
              <w:rPr>
                <w:rFonts w:ascii="宋体" w:hAnsi="宋体" w:cs="宋体"/>
                <w:kern w:val="0"/>
                <w:szCs w:val="21"/>
                <w:highlight w:val="none"/>
                <w:lang w:val="zh-CN" w:bidi="zh-CN"/>
              </w:rPr>
              <w:t>采</w:t>
            </w:r>
            <w:r>
              <w:rPr>
                <w:rFonts w:hint="eastAsia" w:ascii="宋体" w:hAnsi="宋体" w:cs="宋体"/>
                <w:kern w:val="0"/>
                <w:szCs w:val="21"/>
                <w:highlight w:val="none"/>
                <w:lang w:val="zh-CN" w:bidi="zh-CN"/>
              </w:rPr>
              <w:t>平台</w:t>
            </w:r>
            <w:r>
              <w:rPr>
                <w:rFonts w:hint="eastAsia" w:ascii="宋体" w:hAnsi="宋体" w:cs="宋体"/>
                <w:kern w:val="0"/>
                <w:szCs w:val="21"/>
                <w:highlight w:val="none"/>
                <w:lang w:bidi="zh-CN"/>
              </w:rPr>
              <w:t>（http:// scjt</w:t>
            </w:r>
            <w:r>
              <w:rPr>
                <w:rFonts w:ascii="宋体" w:hAnsi="宋体" w:cs="宋体"/>
                <w:kern w:val="0"/>
                <w:szCs w:val="21"/>
                <w:highlight w:val="none"/>
                <w:lang w:bidi="zh-CN"/>
              </w:rPr>
              <w:t>.pauct</w:t>
            </w:r>
            <w:r>
              <w:rPr>
                <w:rFonts w:hint="eastAsia" w:ascii="宋体" w:hAnsi="宋体" w:cs="宋体"/>
                <w:kern w:val="0"/>
                <w:szCs w:val="21"/>
                <w:highlight w:val="none"/>
                <w:lang w:bidi="zh-CN"/>
              </w:rPr>
              <w:t>.com/）</w:t>
            </w:r>
            <w:r>
              <w:rPr>
                <w:rFonts w:hint="eastAsia" w:ascii="宋体" w:hAnsi="宋体" w:cs="宋体"/>
                <w:kern w:val="0"/>
                <w:szCs w:val="21"/>
                <w:highlight w:val="none"/>
                <w:lang w:val="zh-CN" w:bidi="zh-CN"/>
              </w:rPr>
              <w:t>、四川交通投资集团有限责任公司</w:t>
            </w:r>
            <w:r>
              <w:rPr>
                <w:rFonts w:hint="eastAsia" w:ascii="宋体" w:hAnsi="宋体" w:cs="宋体"/>
                <w:kern w:val="0"/>
                <w:szCs w:val="21"/>
                <w:highlight w:val="none"/>
                <w:lang w:bidi="zh-CN"/>
              </w:rPr>
              <w:t>(http://www.scjtgroup.com)</w:t>
            </w:r>
            <w:r>
              <w:rPr>
                <w:rFonts w:hint="eastAsia" w:ascii="宋体" w:hAnsi="宋体" w:cs="宋体"/>
                <w:kern w:val="0"/>
                <w:szCs w:val="21"/>
                <w:highlight w:val="none"/>
                <w:lang w:val="zh-CN" w:bidi="zh-CN"/>
              </w:rPr>
              <w:t>和四川交投物流有限公司网站</w:t>
            </w:r>
            <w:r>
              <w:rPr>
                <w:rFonts w:hint="eastAsia" w:ascii="宋体" w:hAnsi="宋体" w:cs="宋体"/>
                <w:kern w:val="0"/>
                <w:szCs w:val="21"/>
                <w:highlight w:val="none"/>
                <w:lang w:bidi="zh-CN"/>
              </w:rPr>
              <w:t>（http://www.scjt-wl.com/）</w:t>
            </w:r>
            <w:r>
              <w:rPr>
                <w:rFonts w:hint="eastAsia" w:ascii="宋体" w:hAnsi="宋体" w:cs="宋体"/>
                <w:kern w:val="0"/>
                <w:szCs w:val="21"/>
                <w:highlight w:val="none"/>
                <w:lang w:val="zh-CN" w:bidi="zh-CN"/>
              </w:rPr>
              <w:t>上自行查阅和下载。</w:t>
            </w:r>
          </w:p>
          <w:p>
            <w:pPr>
              <w:adjustRightInd w:val="0"/>
              <w:snapToGrid w:val="0"/>
              <w:spacing w:line="400" w:lineRule="exact"/>
              <w:ind w:firstLine="105" w:firstLineChars="50"/>
              <w:rPr>
                <w:rFonts w:ascii="宋体" w:hAnsi="宋体"/>
                <w:color w:val="000000"/>
                <w:szCs w:val="21"/>
                <w:highlight w:val="none"/>
              </w:rPr>
            </w:pPr>
            <w:r>
              <w:rPr>
                <w:rFonts w:hint="eastAsia" w:ascii="宋体" w:hAnsi="宋体" w:cs="宋体"/>
                <w:kern w:val="0"/>
                <w:szCs w:val="21"/>
                <w:highlight w:val="none"/>
                <w:lang w:val="zh-CN" w:bidi="zh-CN"/>
              </w:rPr>
              <w:t>投标人应在投标期间适时关注招标人指定网站，并及时下载相关内容，招标人不再另行通知。查阅下载过程如有问题或疑问请及时与招标人联系；逾期未联系的，招标人视为投标人无任何问题，或是已收到或默认已收到，否则造成的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7" w:hRule="atLeast"/>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16</w:t>
            </w:r>
          </w:p>
        </w:tc>
        <w:tc>
          <w:tcPr>
            <w:tcW w:w="1879" w:type="dxa"/>
            <w:vAlign w:val="center"/>
          </w:tcPr>
          <w:p>
            <w:pPr>
              <w:adjustRightInd w:val="0"/>
              <w:snapToGrid w:val="0"/>
              <w:spacing w:line="400" w:lineRule="exact"/>
              <w:ind w:left="105" w:hanging="105" w:hangingChars="50"/>
              <w:jc w:val="center"/>
              <w:rPr>
                <w:rFonts w:ascii="宋体" w:hAnsi="宋体"/>
                <w:color w:val="000000"/>
                <w:szCs w:val="21"/>
                <w:highlight w:val="none"/>
              </w:rPr>
            </w:pPr>
            <w:r>
              <w:rPr>
                <w:rFonts w:hint="eastAsia" w:ascii="宋体" w:hAnsi="宋体"/>
                <w:color w:val="000000"/>
                <w:szCs w:val="21"/>
                <w:highlight w:val="none"/>
              </w:rPr>
              <w:t>谈判有效期</w:t>
            </w:r>
          </w:p>
        </w:tc>
        <w:tc>
          <w:tcPr>
            <w:tcW w:w="6119" w:type="dxa"/>
            <w:vAlign w:val="center"/>
          </w:tcPr>
          <w:p>
            <w:pPr>
              <w:adjustRightInd w:val="0"/>
              <w:snapToGrid w:val="0"/>
              <w:spacing w:line="400" w:lineRule="exact"/>
              <w:ind w:firstLine="105" w:firstLineChars="50"/>
              <w:rPr>
                <w:rFonts w:ascii="宋体" w:hAnsi="宋体"/>
                <w:color w:val="000000"/>
                <w:szCs w:val="21"/>
                <w:highlight w:val="none"/>
              </w:rPr>
            </w:pPr>
            <w:r>
              <w:rPr>
                <w:rFonts w:hint="eastAsia" w:ascii="宋体" w:hAnsi="宋体"/>
                <w:color w:val="000000"/>
                <w:szCs w:val="21"/>
                <w:highlight w:val="none"/>
              </w:rPr>
              <w:t xml:space="preserve">响应文件递交截止后90天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7</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备选</w:t>
            </w:r>
          </w:p>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谈判方案和报价</w:t>
            </w:r>
          </w:p>
        </w:tc>
        <w:tc>
          <w:tcPr>
            <w:tcW w:w="6119" w:type="dxa"/>
            <w:vAlign w:val="center"/>
          </w:tcPr>
          <w:p>
            <w:pPr>
              <w:adjustRightInd w:val="0"/>
              <w:snapToGrid w:val="0"/>
              <w:spacing w:line="400" w:lineRule="exact"/>
              <w:ind w:firstLine="105" w:firstLineChars="50"/>
              <w:rPr>
                <w:rFonts w:ascii="宋体" w:hAnsi="宋体"/>
                <w:color w:val="000000"/>
                <w:szCs w:val="21"/>
                <w:highlight w:val="none"/>
              </w:rPr>
            </w:pPr>
            <w:r>
              <w:rPr>
                <w:rFonts w:hint="eastAsia" w:ascii="宋体" w:hAnsi="宋体"/>
                <w:color w:val="000000"/>
                <w:szCs w:val="21"/>
                <w:highlight w:val="none"/>
              </w:rPr>
              <w:t>接受备选谈判方案和多次报价。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8</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签字盖章</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投标人必须按照竞争性谈判文件</w:t>
            </w:r>
            <w:r>
              <w:rPr>
                <w:rFonts w:ascii="宋体" w:hAnsi="宋体"/>
                <w:color w:val="000000"/>
                <w:szCs w:val="21"/>
                <w:highlight w:val="none"/>
              </w:rPr>
              <w:t>“</w:t>
            </w:r>
            <w:r>
              <w:rPr>
                <w:rFonts w:hint="eastAsia" w:ascii="宋体" w:hAnsi="宋体"/>
                <w:color w:val="000000"/>
                <w:szCs w:val="21"/>
                <w:highlight w:val="none"/>
              </w:rPr>
              <w:t>第四章</w:t>
            </w:r>
            <w:r>
              <w:rPr>
                <w:rFonts w:ascii="宋体" w:hAnsi="宋体"/>
                <w:color w:val="000000"/>
                <w:szCs w:val="21"/>
                <w:highlight w:val="none"/>
              </w:rPr>
              <w:t>响应文件格式”</w:t>
            </w:r>
            <w:r>
              <w:rPr>
                <w:rFonts w:hint="eastAsia" w:ascii="宋体" w:hAnsi="宋体"/>
                <w:color w:val="000000"/>
                <w:szCs w:val="21"/>
                <w:highlight w:val="none"/>
              </w:rPr>
              <w:t>的规定和要求签字、盖章。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8" w:hRule="atLeast"/>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9</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响应文件份数</w:t>
            </w:r>
          </w:p>
        </w:tc>
        <w:tc>
          <w:tcPr>
            <w:tcW w:w="6119" w:type="dxa"/>
            <w:vAlign w:val="center"/>
          </w:tcPr>
          <w:p>
            <w:pPr>
              <w:adjustRightInd w:val="0"/>
              <w:snapToGrid w:val="0"/>
              <w:spacing w:line="400" w:lineRule="exact"/>
              <w:rPr>
                <w:rFonts w:ascii="宋体" w:hAnsi="宋体" w:cs="宋体"/>
                <w:szCs w:val="21"/>
                <w:highlight w:val="none"/>
              </w:rPr>
            </w:pPr>
            <w:r>
              <w:rPr>
                <w:rFonts w:hint="eastAsia" w:ascii="宋体" w:hAnsi="宋体" w:cs="宋体"/>
                <w:szCs w:val="21"/>
                <w:highlight w:val="none"/>
              </w:rPr>
              <w:t>（1）电子响应文件:</w:t>
            </w:r>
          </w:p>
          <w:p>
            <w:pPr>
              <w:spacing w:line="400" w:lineRule="exact"/>
              <w:ind w:firstLine="420" w:firstLineChars="200"/>
              <w:rPr>
                <w:rFonts w:ascii="宋体" w:hAnsi="宋体"/>
                <w:szCs w:val="21"/>
                <w:highlight w:val="none"/>
              </w:rPr>
            </w:pPr>
            <w:r>
              <w:rPr>
                <w:rFonts w:hint="eastAsia" w:ascii="宋体" w:hAnsi="宋体"/>
                <w:szCs w:val="21"/>
                <w:highlight w:val="none"/>
              </w:rPr>
              <w:t>按照谈判</w:t>
            </w:r>
            <w:r>
              <w:rPr>
                <w:rFonts w:ascii="宋体" w:hAnsi="宋体"/>
                <w:szCs w:val="21"/>
                <w:highlight w:val="none"/>
              </w:rPr>
              <w:t>公告</w:t>
            </w:r>
            <w:r>
              <w:rPr>
                <w:rFonts w:hint="eastAsia" w:ascii="宋体" w:hAnsi="宋体"/>
                <w:szCs w:val="21"/>
                <w:highlight w:val="none"/>
              </w:rPr>
              <w:t>规定的时间前投标人上传响应文件至“智采平台”。</w:t>
            </w:r>
          </w:p>
          <w:p>
            <w:pPr>
              <w:adjustRightInd w:val="0"/>
              <w:snapToGrid w:val="0"/>
              <w:spacing w:line="400" w:lineRule="exact"/>
              <w:rPr>
                <w:rFonts w:ascii="宋体" w:hAnsi="宋体" w:cs="宋体"/>
                <w:szCs w:val="21"/>
                <w:highlight w:val="none"/>
              </w:rPr>
            </w:pPr>
            <w:r>
              <w:rPr>
                <w:rFonts w:hint="eastAsia" w:ascii="宋体" w:hAnsi="宋体" w:cs="宋体"/>
                <w:szCs w:val="21"/>
                <w:highlight w:val="none"/>
              </w:rPr>
              <w:t>（2）现场递交的响应文件：</w:t>
            </w:r>
          </w:p>
          <w:p>
            <w:pPr>
              <w:adjustRightInd w:val="0"/>
              <w:snapToGrid w:val="0"/>
              <w:spacing w:line="400" w:lineRule="exact"/>
              <w:rPr>
                <w:rFonts w:ascii="宋体" w:hAnsi="宋体" w:cs="宋体"/>
                <w:szCs w:val="21"/>
                <w:highlight w:val="none"/>
              </w:rPr>
            </w:pPr>
            <w:r>
              <w:rPr>
                <w:rFonts w:hint="eastAsia" w:ascii="宋体" w:hAnsi="宋体" w:cs="宋体"/>
                <w:szCs w:val="21"/>
                <w:highlight w:val="none"/>
              </w:rPr>
              <w:t>A.纸质文件</w:t>
            </w:r>
            <w:r>
              <w:rPr>
                <w:rFonts w:ascii="宋体" w:hAnsi="宋体" w:cs="宋体"/>
                <w:szCs w:val="21"/>
                <w:highlight w:val="none"/>
              </w:rPr>
              <w:t>正本</w:t>
            </w:r>
            <w:r>
              <w:rPr>
                <w:rFonts w:hint="eastAsia" w:ascii="宋体" w:hAnsi="宋体" w:cs="宋体"/>
                <w:szCs w:val="21"/>
                <w:highlight w:val="none"/>
              </w:rPr>
              <w:t>1份、副本</w:t>
            </w:r>
            <w:r>
              <w:rPr>
                <w:rFonts w:ascii="宋体" w:hAnsi="宋体" w:cs="宋体"/>
                <w:szCs w:val="21"/>
                <w:highlight w:val="none"/>
              </w:rPr>
              <w:t>2</w:t>
            </w:r>
            <w:r>
              <w:rPr>
                <w:rFonts w:hint="eastAsia" w:ascii="宋体" w:hAnsi="宋体" w:cs="宋体"/>
                <w:szCs w:val="21"/>
                <w:highlight w:val="none"/>
              </w:rPr>
              <w:t>份；</w:t>
            </w:r>
          </w:p>
          <w:p>
            <w:pPr>
              <w:spacing w:line="400" w:lineRule="exact"/>
              <w:ind w:firstLine="420" w:firstLineChars="200"/>
              <w:rPr>
                <w:rFonts w:ascii="宋体" w:hAnsi="宋体"/>
                <w:szCs w:val="21"/>
                <w:highlight w:val="none"/>
              </w:rPr>
            </w:pPr>
            <w:r>
              <w:rPr>
                <w:rFonts w:hint="eastAsia" w:ascii="宋体" w:hAnsi="宋体"/>
                <w:szCs w:val="21"/>
                <w:highlight w:val="none"/>
              </w:rPr>
              <w:t>正本和副本的封面右上角上应清楚地标记“正本”或“副本”字样。当“副本”与“正本”不一致时，以“正本”为准。</w:t>
            </w:r>
          </w:p>
          <w:p>
            <w:pPr>
              <w:adjustRightInd w:val="0"/>
              <w:snapToGrid w:val="0"/>
              <w:spacing w:line="400" w:lineRule="exact"/>
              <w:rPr>
                <w:rFonts w:ascii="宋体" w:hAnsi="宋体"/>
                <w:color w:val="000000"/>
                <w:szCs w:val="21"/>
                <w:highlight w:val="none"/>
              </w:rPr>
            </w:pPr>
            <w:r>
              <w:rPr>
                <w:rFonts w:hint="eastAsia" w:ascii="宋体" w:hAnsi="宋体"/>
                <w:szCs w:val="21"/>
                <w:highlight w:val="none"/>
              </w:rPr>
              <w:t>（3）当</w:t>
            </w:r>
            <w:r>
              <w:rPr>
                <w:rFonts w:ascii="宋体" w:hAnsi="宋体"/>
                <w:szCs w:val="21"/>
                <w:highlight w:val="none"/>
              </w:rPr>
              <w:t>电子</w:t>
            </w:r>
            <w:r>
              <w:rPr>
                <w:rFonts w:hint="eastAsia" w:ascii="宋体" w:hAnsi="宋体"/>
                <w:szCs w:val="21"/>
                <w:highlight w:val="none"/>
              </w:rPr>
              <w:t>响应</w:t>
            </w:r>
            <w:r>
              <w:rPr>
                <w:rFonts w:ascii="宋体" w:hAnsi="宋体"/>
                <w:szCs w:val="21"/>
                <w:highlight w:val="none"/>
              </w:rPr>
              <w:t>文件与现场</w:t>
            </w:r>
            <w:r>
              <w:rPr>
                <w:rFonts w:hint="eastAsia" w:ascii="宋体" w:hAnsi="宋体" w:cs="宋体"/>
                <w:szCs w:val="21"/>
                <w:highlight w:val="none"/>
              </w:rPr>
              <w:t>提交的纸质响应文件出现不一致时，以纸质响应文件为准。</w:t>
            </w:r>
            <w:r>
              <w:rPr>
                <w:rFonts w:hint="eastAsia" w:ascii="宋体" w:hAnsi="宋体"/>
                <w:color w:val="00000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20</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响应文件</w:t>
            </w:r>
          </w:p>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装订要求</w:t>
            </w:r>
          </w:p>
        </w:tc>
        <w:tc>
          <w:tcPr>
            <w:tcW w:w="6119" w:type="dxa"/>
            <w:vAlign w:val="center"/>
          </w:tcPr>
          <w:p>
            <w:pPr>
              <w:pStyle w:val="21"/>
              <w:adjustRightInd w:val="0"/>
              <w:snapToGrid w:val="0"/>
              <w:spacing w:line="400" w:lineRule="exact"/>
              <w:rPr>
                <w:rFonts w:hAnsi="宋体" w:cs="宋体"/>
                <w:sz w:val="21"/>
                <w:szCs w:val="21"/>
                <w:highlight w:val="none"/>
              </w:rPr>
            </w:pPr>
            <w:r>
              <w:rPr>
                <w:rFonts w:hint="eastAsia" w:hAnsi="宋体" w:cs="宋体"/>
                <w:sz w:val="21"/>
                <w:szCs w:val="21"/>
                <w:highlight w:val="none"/>
              </w:rPr>
              <w:t>（1）电子响应文件：</w:t>
            </w:r>
          </w:p>
          <w:p>
            <w:pPr>
              <w:pStyle w:val="21"/>
              <w:adjustRightInd w:val="0"/>
              <w:snapToGrid w:val="0"/>
              <w:spacing w:line="400" w:lineRule="exact"/>
              <w:ind w:firstLine="420" w:firstLineChars="200"/>
              <w:rPr>
                <w:rFonts w:hAnsi="宋体" w:cs="宋体"/>
                <w:sz w:val="21"/>
                <w:szCs w:val="21"/>
                <w:highlight w:val="none"/>
              </w:rPr>
            </w:pPr>
            <w:r>
              <w:rPr>
                <w:rFonts w:hint="eastAsia" w:hAnsi="宋体" w:cs="宋体"/>
                <w:sz w:val="21"/>
                <w:szCs w:val="21"/>
                <w:highlight w:val="none"/>
              </w:rPr>
              <w:t>投标人上传的电子响应</w:t>
            </w:r>
            <w:r>
              <w:rPr>
                <w:rFonts w:hAnsi="宋体" w:cs="宋体"/>
                <w:sz w:val="21"/>
                <w:szCs w:val="21"/>
                <w:highlight w:val="none"/>
              </w:rPr>
              <w:t>文件应为</w:t>
            </w:r>
            <w:r>
              <w:rPr>
                <w:rFonts w:hint="eastAsia" w:hAnsi="宋体" w:cs="宋体"/>
                <w:sz w:val="21"/>
                <w:szCs w:val="21"/>
                <w:highlight w:val="none"/>
              </w:rPr>
              <w:t>PDF</w:t>
            </w:r>
            <w:r>
              <w:rPr>
                <w:rFonts w:hAnsi="宋体" w:cs="宋体"/>
                <w:sz w:val="21"/>
                <w:szCs w:val="21"/>
                <w:highlight w:val="none"/>
              </w:rPr>
              <w:t>文件</w:t>
            </w:r>
            <w:r>
              <w:rPr>
                <w:rFonts w:hint="eastAsia" w:hAnsi="宋体" w:cs="宋体"/>
                <w:sz w:val="21"/>
                <w:szCs w:val="21"/>
                <w:highlight w:val="none"/>
              </w:rPr>
              <w:t>，且能</w:t>
            </w:r>
            <w:r>
              <w:rPr>
                <w:rFonts w:hAnsi="宋体" w:cs="宋体"/>
                <w:sz w:val="21"/>
                <w:szCs w:val="21"/>
                <w:highlight w:val="none"/>
              </w:rPr>
              <w:t>正常打开。</w:t>
            </w:r>
          </w:p>
          <w:p>
            <w:pPr>
              <w:pStyle w:val="21"/>
              <w:adjustRightInd w:val="0"/>
              <w:snapToGrid w:val="0"/>
              <w:spacing w:line="400" w:lineRule="exact"/>
              <w:rPr>
                <w:rFonts w:hAnsi="宋体" w:cs="宋体"/>
                <w:sz w:val="21"/>
                <w:szCs w:val="21"/>
                <w:highlight w:val="none"/>
              </w:rPr>
            </w:pPr>
            <w:r>
              <w:rPr>
                <w:rFonts w:hint="eastAsia" w:hAnsi="宋体" w:cs="宋体"/>
                <w:sz w:val="21"/>
                <w:szCs w:val="21"/>
                <w:highlight w:val="none"/>
              </w:rPr>
              <w:t>（2）现场递交的响应</w:t>
            </w:r>
            <w:r>
              <w:rPr>
                <w:rFonts w:hAnsi="宋体" w:cs="宋体"/>
                <w:sz w:val="21"/>
                <w:szCs w:val="21"/>
                <w:highlight w:val="none"/>
              </w:rPr>
              <w:t>文件：</w:t>
            </w:r>
          </w:p>
          <w:p>
            <w:pPr>
              <w:adjustRightInd w:val="0"/>
              <w:snapToGrid w:val="0"/>
              <w:spacing w:line="400" w:lineRule="exact"/>
              <w:ind w:left="105" w:leftChars="50"/>
              <w:rPr>
                <w:rFonts w:ascii="宋体" w:hAnsi="宋体"/>
                <w:color w:val="000000"/>
                <w:szCs w:val="21"/>
                <w:highlight w:val="none"/>
              </w:rPr>
            </w:pPr>
            <w:r>
              <w:rPr>
                <w:rFonts w:hint="eastAsia" w:hAnsi="宋体" w:cs="宋体"/>
                <w:szCs w:val="21"/>
                <w:highlight w:val="none"/>
              </w:rPr>
              <w:t>A.响应文件应采用粘贴或装订方式分别装订成册，并标明“正本”、“副本”，不得采用活页夹等可随时拆换的</w:t>
            </w:r>
            <w:r>
              <w:rPr>
                <w:rFonts w:hint="eastAsia" w:hAnsi="宋体" w:cs="宋体"/>
                <w:highlight w:val="none"/>
              </w:rPr>
              <w:t>方式装订，否则，由于响应文件页码顺序和装订造成的丢失、散落或其它后果概由投标人自行承担。谈判文件要求响应文件中附原件的，应一律附于响应文件“正本”内。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21</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响应文件</w:t>
            </w:r>
          </w:p>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密封袋的标注</w:t>
            </w:r>
          </w:p>
        </w:tc>
        <w:tc>
          <w:tcPr>
            <w:tcW w:w="6119" w:type="dxa"/>
            <w:vAlign w:val="center"/>
          </w:tcPr>
          <w:p>
            <w:pPr>
              <w:adjustRightInd w:val="0"/>
              <w:snapToGrid w:val="0"/>
              <w:spacing w:line="400" w:lineRule="exact"/>
              <w:rPr>
                <w:rFonts w:ascii="宋体" w:hAnsi="宋体"/>
                <w:color w:val="000000"/>
                <w:szCs w:val="21"/>
                <w:highlight w:val="none"/>
              </w:rPr>
            </w:pPr>
            <w:r>
              <w:rPr>
                <w:rFonts w:hint="eastAsia" w:ascii="宋体" w:hAnsi="宋体"/>
                <w:b/>
                <w:color w:val="000000"/>
                <w:szCs w:val="21"/>
                <w:highlight w:val="none"/>
              </w:rPr>
              <w:t>密封袋上应注明投标人名称、项目名称、</w:t>
            </w:r>
            <w:r>
              <w:rPr>
                <w:rFonts w:ascii="宋体" w:hAnsi="宋体"/>
                <w:b/>
                <w:color w:val="000000"/>
                <w:szCs w:val="21"/>
                <w:highlight w:val="none"/>
              </w:rPr>
              <w:t>标段号</w:t>
            </w:r>
            <w:r>
              <w:rPr>
                <w:rFonts w:hint="eastAsia" w:ascii="宋体" w:hAnsi="宋体"/>
                <w:b/>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2</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响应文件是否退还</w:t>
            </w:r>
          </w:p>
        </w:tc>
        <w:tc>
          <w:tcPr>
            <w:tcW w:w="6119" w:type="dxa"/>
            <w:vAlign w:val="center"/>
          </w:tcPr>
          <w:p>
            <w:pPr>
              <w:adjustRightInd w:val="0"/>
              <w:snapToGrid w:val="0"/>
              <w:spacing w:line="400" w:lineRule="exact"/>
              <w:rPr>
                <w:rFonts w:ascii="宋体" w:hAnsi="宋体" w:cs="宋体"/>
                <w:szCs w:val="21"/>
                <w:highlight w:val="none"/>
              </w:rPr>
            </w:pPr>
            <w:r>
              <w:rPr>
                <w:rFonts w:hint="eastAsia" w:ascii="宋体" w:hAnsi="宋体" w:cs="宋体"/>
                <w:szCs w:val="21"/>
                <w:highlight w:val="none"/>
              </w:rPr>
              <w:t>（1）当响应文件的密封不符合本须知前附表</w:t>
            </w:r>
            <w:r>
              <w:rPr>
                <w:rFonts w:ascii="宋体" w:hAnsi="宋体" w:cs="宋体"/>
                <w:szCs w:val="21"/>
                <w:highlight w:val="none"/>
              </w:rPr>
              <w:t>第</w:t>
            </w:r>
            <w:r>
              <w:rPr>
                <w:rFonts w:hint="eastAsia" w:ascii="宋体" w:hAnsi="宋体" w:cs="宋体"/>
                <w:szCs w:val="21"/>
                <w:highlight w:val="none"/>
              </w:rPr>
              <w:t>20款的，原封退还；</w:t>
            </w:r>
          </w:p>
          <w:p>
            <w:pPr>
              <w:adjustRightInd w:val="0"/>
              <w:snapToGrid w:val="0"/>
              <w:spacing w:line="400" w:lineRule="exact"/>
              <w:rPr>
                <w:rFonts w:ascii="宋体" w:hAnsi="宋体"/>
                <w:b/>
                <w:color w:val="000000"/>
                <w:szCs w:val="21"/>
                <w:highlight w:val="none"/>
              </w:rPr>
            </w:pPr>
            <w:r>
              <w:rPr>
                <w:rFonts w:hint="eastAsia" w:ascii="宋体" w:hAnsi="宋体" w:cs="宋体"/>
                <w:szCs w:val="24"/>
                <w:highlight w:val="none"/>
              </w:rPr>
              <w:t>（2）当投标人少于</w:t>
            </w:r>
            <w:r>
              <w:rPr>
                <w:rFonts w:ascii="宋体" w:hAnsi="宋体" w:cs="宋体"/>
                <w:szCs w:val="24"/>
                <w:highlight w:val="none"/>
              </w:rPr>
              <w:t>2</w:t>
            </w:r>
            <w:r>
              <w:rPr>
                <w:rFonts w:hint="eastAsia" w:ascii="宋体" w:hAnsi="宋体" w:cs="宋体"/>
                <w:szCs w:val="24"/>
                <w:highlight w:val="none"/>
              </w:rPr>
              <w:t>个（不含</w:t>
            </w:r>
            <w:r>
              <w:rPr>
                <w:rFonts w:ascii="宋体" w:hAnsi="宋体" w:cs="宋体"/>
                <w:szCs w:val="24"/>
                <w:highlight w:val="none"/>
              </w:rPr>
              <w:t>2</w:t>
            </w:r>
            <w:r>
              <w:rPr>
                <w:rFonts w:hint="eastAsia" w:ascii="宋体" w:hAnsi="宋体" w:cs="宋体"/>
                <w:szCs w:val="24"/>
                <w:highlight w:val="none"/>
              </w:rPr>
              <w:t>个）将不予启封，原封退还。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Merge w:val="restart"/>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23</w:t>
            </w:r>
          </w:p>
        </w:tc>
        <w:tc>
          <w:tcPr>
            <w:tcW w:w="1879" w:type="dxa"/>
            <w:vMerge w:val="restart"/>
            <w:vAlign w:val="center"/>
          </w:tcPr>
          <w:p>
            <w:pPr>
              <w:adjustRightInd w:val="0"/>
              <w:snapToGrid w:val="0"/>
              <w:spacing w:line="400" w:lineRule="exact"/>
              <w:ind w:left="105" w:leftChars="50"/>
              <w:jc w:val="center"/>
              <w:rPr>
                <w:rFonts w:ascii="宋体" w:hAnsi="宋体"/>
                <w:b/>
                <w:color w:val="000000"/>
                <w:szCs w:val="21"/>
                <w:highlight w:val="none"/>
              </w:rPr>
            </w:pPr>
            <w:r>
              <w:rPr>
                <w:rFonts w:hint="eastAsia" w:ascii="宋体" w:hAnsi="宋体"/>
                <w:b/>
                <w:color w:val="000000"/>
                <w:szCs w:val="21"/>
                <w:highlight w:val="none"/>
              </w:rPr>
              <w:t>成交服务费</w:t>
            </w:r>
          </w:p>
          <w:p>
            <w:pPr>
              <w:adjustRightInd w:val="0"/>
              <w:snapToGrid w:val="0"/>
              <w:spacing w:line="400" w:lineRule="exact"/>
              <w:ind w:left="105" w:leftChars="50"/>
              <w:jc w:val="center"/>
              <w:rPr>
                <w:rFonts w:ascii="宋体" w:hAnsi="宋体"/>
                <w:b/>
                <w:color w:val="000000"/>
                <w:szCs w:val="21"/>
                <w:highlight w:val="none"/>
              </w:rPr>
            </w:pPr>
            <w:r>
              <w:rPr>
                <w:rFonts w:ascii="宋体" w:hAnsi="宋体"/>
                <w:b/>
                <w:color w:val="000000"/>
                <w:szCs w:val="21"/>
                <w:highlight w:val="none"/>
              </w:rPr>
              <w:t>（</w:t>
            </w:r>
            <w:r>
              <w:rPr>
                <w:rFonts w:hint="eastAsia" w:ascii="宋体" w:hAnsi="宋体"/>
                <w:b/>
                <w:color w:val="000000"/>
                <w:szCs w:val="21"/>
                <w:highlight w:val="none"/>
              </w:rPr>
              <w:t>招标咨询服务费</w:t>
            </w:r>
            <w:r>
              <w:rPr>
                <w:rFonts w:ascii="宋体" w:hAnsi="宋体"/>
                <w:b/>
                <w:color w:val="000000"/>
                <w:szCs w:val="21"/>
                <w:highlight w:val="none"/>
              </w:rPr>
              <w:t>）</w:t>
            </w:r>
          </w:p>
        </w:tc>
        <w:tc>
          <w:tcPr>
            <w:tcW w:w="6119" w:type="dxa"/>
            <w:vAlign w:val="center"/>
          </w:tcPr>
          <w:p>
            <w:pPr>
              <w:adjustRightInd w:val="0"/>
              <w:snapToGrid w:val="0"/>
              <w:spacing w:line="400" w:lineRule="exact"/>
              <w:ind w:left="105" w:leftChars="50"/>
              <w:rPr>
                <w:rFonts w:ascii="宋体" w:hAnsi="宋体"/>
                <w:b/>
                <w:color w:val="000000"/>
                <w:szCs w:val="21"/>
                <w:highlight w:val="none"/>
              </w:rPr>
            </w:pPr>
            <w:r>
              <w:rPr>
                <w:rFonts w:hint="eastAsia" w:ascii="宋体" w:hAnsi="宋体"/>
                <w:b/>
                <w:color w:val="000000"/>
                <w:szCs w:val="21"/>
                <w:highlight w:val="none"/>
              </w:rPr>
              <w:t>人民币</w:t>
            </w:r>
            <w:r>
              <w:rPr>
                <w:rFonts w:ascii="宋体" w:hAnsi="宋体"/>
                <w:b/>
                <w:color w:val="000000"/>
                <w:szCs w:val="21"/>
                <w:highlight w:val="none"/>
              </w:rPr>
              <w:t>12</w:t>
            </w:r>
            <w:r>
              <w:rPr>
                <w:rFonts w:hint="eastAsia" w:ascii="宋体" w:hAnsi="宋体"/>
                <w:b/>
                <w:color w:val="000000"/>
                <w:szCs w:val="21"/>
                <w:highlight w:val="none"/>
              </w:rPr>
              <w:t>万元整</w:t>
            </w:r>
          </w:p>
          <w:p>
            <w:pPr>
              <w:adjustRightInd w:val="0"/>
              <w:snapToGrid w:val="0"/>
              <w:spacing w:line="400" w:lineRule="exact"/>
              <w:rPr>
                <w:rFonts w:ascii="宋体" w:hAnsi="宋体" w:cs="宋体"/>
                <w:kern w:val="0"/>
                <w:szCs w:val="21"/>
                <w:highlight w:val="none"/>
              </w:rPr>
            </w:pPr>
            <w:r>
              <w:rPr>
                <w:rFonts w:hint="eastAsia" w:ascii="宋体" w:hAnsi="宋体" w:cs="宋体"/>
                <w:kern w:val="0"/>
                <w:szCs w:val="21"/>
                <w:highlight w:val="none"/>
              </w:rPr>
              <w:t>由成交人支付给招标咨询单位。招标咨询服务费包含在谈判报价相关子目单价或总额价中，不单独报价。</w:t>
            </w:r>
          </w:p>
          <w:p>
            <w:pPr>
              <w:adjustRightInd w:val="0"/>
              <w:snapToGrid w:val="0"/>
              <w:spacing w:line="400" w:lineRule="exact"/>
              <w:ind w:left="105" w:leftChars="50"/>
              <w:rPr>
                <w:rFonts w:ascii="宋体" w:hAnsi="宋体"/>
                <w:b/>
                <w:color w:val="000000"/>
                <w:szCs w:val="21"/>
                <w:highlight w:val="none"/>
              </w:rPr>
            </w:pPr>
            <w:r>
              <w:rPr>
                <w:rFonts w:hint="eastAsia" w:ascii="宋体" w:hAnsi="宋体" w:cs="宋体"/>
                <w:kern w:val="0"/>
                <w:szCs w:val="21"/>
                <w:highlight w:val="none"/>
              </w:rPr>
              <w:t>支付方式：</w:t>
            </w:r>
            <w:r>
              <w:rPr>
                <w:rFonts w:hint="eastAsia" w:ascii="宋体" w:hAnsi="宋体"/>
                <w:color w:val="000000"/>
                <w:szCs w:val="21"/>
                <w:highlight w:val="none"/>
              </w:rPr>
              <w:t>成交投标人应在收到成交通知后</w:t>
            </w:r>
            <w:r>
              <w:rPr>
                <w:rFonts w:ascii="宋体" w:hAnsi="宋体"/>
                <w:color w:val="000000"/>
                <w:szCs w:val="21"/>
                <w:highlight w:val="none"/>
              </w:rPr>
              <w:t>5</w:t>
            </w:r>
            <w:r>
              <w:rPr>
                <w:rFonts w:hint="eastAsia" w:ascii="宋体" w:hAnsi="宋体"/>
                <w:color w:val="000000"/>
                <w:szCs w:val="21"/>
                <w:highlight w:val="none"/>
              </w:rPr>
              <w:t>个工作日内</w:t>
            </w:r>
            <w:r>
              <w:rPr>
                <w:rFonts w:hint="eastAsia" w:ascii="宋体" w:hAnsi="宋体" w:cs="宋体"/>
                <w:kern w:val="0"/>
                <w:szCs w:val="21"/>
                <w:highlight w:val="none"/>
              </w:rPr>
              <w:t>，将招标咨询服务费直接支付给招标咨询单位。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Merge w:val="continue"/>
            <w:vAlign w:val="center"/>
          </w:tcPr>
          <w:p>
            <w:pPr>
              <w:adjustRightInd w:val="0"/>
              <w:snapToGrid w:val="0"/>
              <w:spacing w:line="400" w:lineRule="exact"/>
              <w:jc w:val="center"/>
              <w:rPr>
                <w:rFonts w:ascii="宋体" w:hAnsi="宋体"/>
                <w:color w:val="000000"/>
                <w:szCs w:val="21"/>
                <w:highlight w:val="none"/>
              </w:rPr>
            </w:pPr>
          </w:p>
        </w:tc>
        <w:tc>
          <w:tcPr>
            <w:tcW w:w="1879" w:type="dxa"/>
            <w:vMerge w:val="continue"/>
            <w:vAlign w:val="center"/>
          </w:tcPr>
          <w:p>
            <w:pPr>
              <w:adjustRightInd w:val="0"/>
              <w:snapToGrid w:val="0"/>
              <w:spacing w:line="400" w:lineRule="exact"/>
              <w:ind w:left="105" w:leftChars="50"/>
              <w:jc w:val="center"/>
              <w:rPr>
                <w:rFonts w:ascii="宋体" w:hAnsi="宋体"/>
                <w:b/>
                <w:color w:val="000000"/>
                <w:szCs w:val="21"/>
                <w:highlight w:val="none"/>
              </w:rPr>
            </w:pPr>
          </w:p>
        </w:tc>
        <w:tc>
          <w:tcPr>
            <w:tcW w:w="6119" w:type="dxa"/>
            <w:vAlign w:val="center"/>
          </w:tcPr>
          <w:p>
            <w:pPr>
              <w:adjustRightInd w:val="0"/>
              <w:snapToGrid w:val="0"/>
              <w:spacing w:line="400" w:lineRule="exact"/>
              <w:ind w:left="105" w:leftChars="50"/>
              <w:rPr>
                <w:rFonts w:ascii="宋体" w:hAnsi="宋体"/>
                <w:b/>
                <w:color w:val="000000"/>
                <w:szCs w:val="21"/>
                <w:highlight w:val="none"/>
              </w:rPr>
            </w:pPr>
            <w:r>
              <w:rPr>
                <w:rFonts w:hint="eastAsia" w:ascii="宋体" w:hAnsi="宋体"/>
                <w:b/>
                <w:color w:val="000000"/>
                <w:szCs w:val="21"/>
                <w:highlight w:val="none"/>
              </w:rPr>
              <w:t>收款单位：四川省川交公路工程咨询有限公司</w:t>
            </w:r>
          </w:p>
          <w:p>
            <w:pPr>
              <w:adjustRightInd w:val="0"/>
              <w:snapToGrid w:val="0"/>
              <w:spacing w:line="400" w:lineRule="exact"/>
              <w:ind w:left="105" w:leftChars="50"/>
              <w:rPr>
                <w:rFonts w:ascii="宋体" w:hAnsi="宋体"/>
                <w:b/>
                <w:color w:val="000000"/>
                <w:szCs w:val="21"/>
                <w:highlight w:val="none"/>
              </w:rPr>
            </w:pPr>
            <w:r>
              <w:rPr>
                <w:rFonts w:hint="eastAsia" w:ascii="宋体" w:hAnsi="宋体"/>
                <w:b/>
                <w:color w:val="000000"/>
                <w:szCs w:val="21"/>
                <w:highlight w:val="none"/>
              </w:rPr>
              <w:t>开户行：建行成都市南郊支行</w:t>
            </w:r>
          </w:p>
          <w:p>
            <w:pPr>
              <w:adjustRightInd w:val="0"/>
              <w:snapToGrid w:val="0"/>
              <w:spacing w:line="400" w:lineRule="exact"/>
              <w:ind w:left="105" w:leftChars="50"/>
              <w:rPr>
                <w:rFonts w:ascii="宋体" w:hAnsi="宋体"/>
                <w:b/>
                <w:color w:val="000000"/>
                <w:szCs w:val="21"/>
                <w:highlight w:val="none"/>
              </w:rPr>
            </w:pPr>
            <w:r>
              <w:rPr>
                <w:rFonts w:hint="eastAsia" w:ascii="宋体" w:hAnsi="宋体"/>
                <w:b/>
                <w:color w:val="000000"/>
                <w:szCs w:val="21"/>
                <w:highlight w:val="none"/>
              </w:rPr>
              <w:t>银行账号：</w:t>
            </w:r>
            <w:r>
              <w:rPr>
                <w:rFonts w:ascii="宋体" w:hAnsi="宋体"/>
                <w:b/>
                <w:color w:val="000000"/>
                <w:szCs w:val="21"/>
                <w:highlight w:val="none"/>
              </w:rPr>
              <w:t>51001875136050672131</w:t>
            </w:r>
          </w:p>
          <w:p>
            <w:pPr>
              <w:adjustRightInd w:val="0"/>
              <w:snapToGrid w:val="0"/>
              <w:spacing w:line="400" w:lineRule="exact"/>
              <w:ind w:left="105" w:leftChars="50"/>
              <w:rPr>
                <w:rFonts w:ascii="宋体" w:hAnsi="宋体"/>
                <w:b/>
                <w:color w:val="000000"/>
                <w:szCs w:val="21"/>
                <w:highlight w:val="none"/>
              </w:rPr>
            </w:pPr>
            <w:r>
              <w:rPr>
                <w:rFonts w:hint="eastAsia" w:ascii="宋体" w:hAnsi="宋体"/>
                <w:b/>
                <w:color w:val="000000"/>
                <w:szCs w:val="21"/>
                <w:highlight w:val="none"/>
              </w:rPr>
              <w:t>不交纳成交服务费的成交投标人，此成交投标人作为自动放弃成交项目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24</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履约保证金</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1）履约保证金提交形式：现金</w:t>
            </w:r>
            <w:r>
              <w:rPr>
                <w:rFonts w:hint="eastAsia" w:ascii="宋体" w:hAnsi="宋体"/>
                <w:color w:val="000000"/>
                <w:szCs w:val="21"/>
                <w:highlight w:val="none"/>
              </w:rPr>
              <w:t>或</w:t>
            </w:r>
            <w:r>
              <w:rPr>
                <w:rFonts w:ascii="宋体" w:hAnsi="宋体"/>
                <w:color w:val="000000"/>
                <w:szCs w:val="21"/>
                <w:highlight w:val="none"/>
              </w:rPr>
              <w:t>保函</w:t>
            </w:r>
          </w:p>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（2）金额为人民币</w:t>
            </w:r>
            <w:r>
              <w:rPr>
                <w:rFonts w:ascii="宋体" w:hAnsi="宋体"/>
                <w:color w:val="000000"/>
                <w:szCs w:val="21"/>
                <w:highlight w:val="none"/>
              </w:rPr>
              <w:t>100</w:t>
            </w:r>
            <w:r>
              <w:rPr>
                <w:rFonts w:hint="eastAsia" w:ascii="宋体" w:hAnsi="宋体"/>
                <w:color w:val="000000"/>
                <w:szCs w:val="21"/>
                <w:highlight w:val="none"/>
              </w:rPr>
              <w:t>万</w:t>
            </w:r>
            <w:r>
              <w:rPr>
                <w:rFonts w:ascii="宋体" w:hAnsi="宋体"/>
                <w:color w:val="000000"/>
                <w:szCs w:val="21"/>
                <w:highlight w:val="none"/>
              </w:rPr>
              <w:t>元；</w:t>
            </w:r>
          </w:p>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（3）</w:t>
            </w:r>
            <w:r>
              <w:rPr>
                <w:rFonts w:ascii="宋体" w:hAnsi="宋体"/>
                <w:color w:val="000000"/>
                <w:szCs w:val="21"/>
                <w:highlight w:val="none"/>
              </w:rPr>
              <w:t>提交时间：</w:t>
            </w:r>
            <w:r>
              <w:rPr>
                <w:rFonts w:hint="eastAsia" w:ascii="宋体" w:hAnsi="宋体"/>
                <w:color w:val="000000"/>
                <w:szCs w:val="21"/>
                <w:highlight w:val="none"/>
              </w:rPr>
              <w:t>发出</w:t>
            </w:r>
            <w:r>
              <w:rPr>
                <w:rFonts w:ascii="宋体" w:hAnsi="宋体"/>
                <w:color w:val="000000"/>
                <w:szCs w:val="21"/>
                <w:highlight w:val="none"/>
              </w:rPr>
              <w:t>中标通知书后、</w:t>
            </w:r>
            <w:r>
              <w:rPr>
                <w:rFonts w:hint="eastAsia" w:ascii="宋体" w:hAnsi="宋体"/>
                <w:color w:val="000000"/>
                <w:szCs w:val="21"/>
                <w:highlight w:val="none"/>
              </w:rPr>
              <w:t>签订合同协议书前一次性</w:t>
            </w:r>
            <w:r>
              <w:rPr>
                <w:rFonts w:ascii="宋体" w:hAnsi="宋体"/>
                <w:color w:val="000000"/>
                <w:szCs w:val="21"/>
                <w:highlight w:val="none"/>
              </w:rPr>
              <w:t>提交</w:t>
            </w:r>
            <w:r>
              <w:rPr>
                <w:rFonts w:hint="eastAsia" w:ascii="宋体" w:hAnsi="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25</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签订合同</w:t>
            </w:r>
          </w:p>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时间、地点</w:t>
            </w:r>
          </w:p>
        </w:tc>
        <w:tc>
          <w:tcPr>
            <w:tcW w:w="6119" w:type="dxa"/>
            <w:vAlign w:val="center"/>
          </w:tcPr>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投标人在收到招标人发出的《成交通知书》后，应在</w:t>
            </w:r>
            <w:r>
              <w:rPr>
                <w:rFonts w:ascii="宋体" w:hAnsi="宋体"/>
                <w:color w:val="000000"/>
                <w:szCs w:val="21"/>
                <w:highlight w:val="none"/>
              </w:rPr>
              <w:t>30</w:t>
            </w:r>
            <w:r>
              <w:rPr>
                <w:rFonts w:hint="eastAsia" w:ascii="宋体" w:hAnsi="宋体"/>
                <w:color w:val="000000"/>
                <w:szCs w:val="21"/>
                <w:highlight w:val="none"/>
              </w:rPr>
              <w:t>日内与采购人</w:t>
            </w:r>
            <w:r>
              <w:rPr>
                <w:rFonts w:hint="eastAsia" w:ascii="宋体" w:hAnsi="宋体" w:cs="宋体"/>
                <w:szCs w:val="21"/>
                <w:highlight w:val="none"/>
              </w:rPr>
              <w:t>四川交投物流有限公司</w:t>
            </w:r>
            <w:r>
              <w:rPr>
                <w:rFonts w:hint="eastAsia" w:ascii="宋体" w:hAnsi="宋体"/>
                <w:color w:val="000000"/>
                <w:szCs w:val="21"/>
                <w:highlight w:val="none"/>
              </w:rPr>
              <w:t>签订合同</w:t>
            </w:r>
          </w:p>
          <w:p>
            <w:pPr>
              <w:adjustRightInd w:val="0"/>
              <w:snapToGrid w:val="0"/>
              <w:spacing w:line="400" w:lineRule="exact"/>
              <w:ind w:left="105" w:leftChars="50"/>
              <w:rPr>
                <w:rFonts w:ascii="宋体" w:hAnsi="宋体"/>
                <w:color w:val="000000"/>
                <w:szCs w:val="21"/>
                <w:highlight w:val="none"/>
              </w:rPr>
            </w:pPr>
            <w:r>
              <w:rPr>
                <w:rFonts w:hint="eastAsia" w:ascii="宋体" w:hAnsi="宋体"/>
                <w:color w:val="000000"/>
                <w:szCs w:val="21"/>
                <w:highlight w:val="none"/>
              </w:rPr>
              <w:t>签订合同地点：采购人地址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ascii="宋体" w:hAnsi="宋体"/>
                <w:color w:val="000000"/>
                <w:szCs w:val="21"/>
                <w:highlight w:val="none"/>
              </w:rPr>
              <w:t>26</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成交履约</w:t>
            </w:r>
          </w:p>
        </w:tc>
        <w:tc>
          <w:tcPr>
            <w:tcW w:w="6119" w:type="dxa"/>
            <w:vAlign w:val="center"/>
          </w:tcPr>
          <w:p>
            <w:pPr>
              <w:adjustRightInd w:val="0"/>
              <w:snapToGrid w:val="0"/>
              <w:spacing w:line="400" w:lineRule="exact"/>
              <w:ind w:left="105" w:hanging="105" w:hangingChars="50"/>
              <w:rPr>
                <w:rFonts w:ascii="宋体" w:hAnsi="宋体"/>
                <w:color w:val="000000"/>
                <w:szCs w:val="21"/>
                <w:highlight w:val="none"/>
              </w:rPr>
            </w:pPr>
            <w:r>
              <w:rPr>
                <w:rFonts w:hint="eastAsia" w:ascii="宋体" w:hAnsi="宋体"/>
                <w:color w:val="000000"/>
                <w:szCs w:val="21"/>
                <w:highlight w:val="none"/>
              </w:rPr>
              <w:t xml:space="preserve"> </w:t>
            </w:r>
            <w:r>
              <w:rPr>
                <w:rFonts w:hint="eastAsia" w:ascii="宋体" w:hAnsi="宋体" w:cs="宋体"/>
                <w:szCs w:val="21"/>
                <w:highlight w:val="none"/>
              </w:rPr>
              <w:t>投标人</w:t>
            </w:r>
            <w:r>
              <w:rPr>
                <w:rFonts w:hint="eastAsia" w:ascii="宋体" w:hAnsi="宋体"/>
                <w:color w:val="000000"/>
                <w:szCs w:val="21"/>
                <w:highlight w:val="none"/>
              </w:rPr>
              <w:t>签订合同后不允许转包、</w:t>
            </w:r>
            <w:r>
              <w:rPr>
                <w:rFonts w:ascii="宋体" w:hAnsi="宋体"/>
                <w:color w:val="000000"/>
                <w:szCs w:val="21"/>
                <w:highlight w:val="none"/>
              </w:rPr>
              <w:t>分包</w:t>
            </w:r>
            <w:r>
              <w:rPr>
                <w:rFonts w:hint="eastAsia" w:ascii="宋体" w:hAnsi="宋体"/>
                <w:color w:val="00000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7</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签约合同价的</w:t>
            </w:r>
            <w:r>
              <w:rPr>
                <w:rFonts w:ascii="宋体" w:hAnsi="宋体"/>
                <w:color w:val="000000"/>
                <w:szCs w:val="21"/>
                <w:highlight w:val="none"/>
              </w:rPr>
              <w:t>确定原则</w:t>
            </w:r>
          </w:p>
        </w:tc>
        <w:tc>
          <w:tcPr>
            <w:tcW w:w="6119" w:type="dxa"/>
            <w:vAlign w:val="center"/>
          </w:tcPr>
          <w:p>
            <w:pPr>
              <w:adjustRightInd w:val="0"/>
              <w:snapToGrid w:val="0"/>
              <w:spacing w:line="400" w:lineRule="exact"/>
              <w:ind w:firstLine="420" w:firstLineChars="200"/>
              <w:rPr>
                <w:szCs w:val="21"/>
                <w:highlight w:val="none"/>
              </w:rPr>
            </w:pPr>
            <w:r>
              <w:rPr>
                <w:szCs w:val="21"/>
                <w:highlight w:val="none"/>
              </w:rPr>
              <w:t>签约合同价为</w:t>
            </w:r>
            <w:r>
              <w:rPr>
                <w:spacing w:val="-4"/>
                <w:szCs w:val="21"/>
                <w:highlight w:val="none"/>
              </w:rPr>
              <w:t>投标人</w:t>
            </w:r>
            <w:r>
              <w:rPr>
                <w:rFonts w:hint="eastAsia"/>
                <w:spacing w:val="-4"/>
                <w:szCs w:val="21"/>
                <w:highlight w:val="none"/>
              </w:rPr>
              <w:t>最终</w:t>
            </w:r>
            <w:r>
              <w:rPr>
                <w:spacing w:val="-4"/>
                <w:szCs w:val="21"/>
                <w:highlight w:val="none"/>
              </w:rPr>
              <w:t>报价的</w:t>
            </w:r>
            <w:r>
              <w:rPr>
                <w:rFonts w:hint="eastAsia"/>
                <w:spacing w:val="-4"/>
                <w:szCs w:val="21"/>
                <w:highlight w:val="none"/>
              </w:rPr>
              <w:t>谈判</w:t>
            </w:r>
            <w:r>
              <w:rPr>
                <w:spacing w:val="-4"/>
                <w:szCs w:val="21"/>
                <w:highlight w:val="none"/>
              </w:rPr>
              <w:t>函上的投标</w:t>
            </w:r>
            <w:r>
              <w:rPr>
                <w:rFonts w:hint="eastAsia"/>
                <w:spacing w:val="-4"/>
                <w:szCs w:val="21"/>
                <w:highlight w:val="none"/>
              </w:rPr>
              <w:t>总</w:t>
            </w:r>
            <w:r>
              <w:rPr>
                <w:spacing w:val="-4"/>
                <w:szCs w:val="21"/>
                <w:highlight w:val="none"/>
              </w:rPr>
              <w:t>报价大写金额。</w:t>
            </w:r>
            <w:r>
              <w:rPr>
                <w:rFonts w:hint="eastAsia"/>
                <w:spacing w:val="-4"/>
                <w:szCs w:val="21"/>
                <w:highlight w:val="none"/>
              </w:rPr>
              <w:t>由于投标人</w:t>
            </w:r>
            <w:r>
              <w:rPr>
                <w:spacing w:val="-4"/>
                <w:szCs w:val="21"/>
                <w:highlight w:val="none"/>
              </w:rPr>
              <w:t>经过多</w:t>
            </w:r>
            <w:r>
              <w:rPr>
                <w:rFonts w:hint="eastAsia"/>
                <w:spacing w:val="-4"/>
                <w:szCs w:val="21"/>
                <w:highlight w:val="none"/>
              </w:rPr>
              <w:t>轮谈判</w:t>
            </w:r>
            <w:r>
              <w:rPr>
                <w:spacing w:val="-4"/>
                <w:szCs w:val="21"/>
                <w:highlight w:val="none"/>
              </w:rPr>
              <w:t>报价</w:t>
            </w:r>
            <w:r>
              <w:rPr>
                <w:rFonts w:hint="eastAsia"/>
                <w:spacing w:val="-4"/>
                <w:szCs w:val="21"/>
                <w:highlight w:val="none"/>
              </w:rPr>
              <w:t>，最终报价</w:t>
            </w:r>
            <w:r>
              <w:rPr>
                <w:spacing w:val="-4"/>
                <w:szCs w:val="21"/>
                <w:highlight w:val="none"/>
              </w:rPr>
              <w:t>与其报价清单中</w:t>
            </w:r>
            <w:r>
              <w:rPr>
                <w:rFonts w:hint="eastAsia"/>
                <w:spacing w:val="-4"/>
                <w:szCs w:val="21"/>
                <w:highlight w:val="none"/>
              </w:rPr>
              <w:t>合计金额</w:t>
            </w:r>
            <w:r>
              <w:rPr>
                <w:spacing w:val="-4"/>
                <w:szCs w:val="21"/>
                <w:highlight w:val="none"/>
              </w:rPr>
              <w:t>不同的</w:t>
            </w:r>
            <w:r>
              <w:rPr>
                <w:rFonts w:hint="eastAsia"/>
                <w:spacing w:val="-4"/>
                <w:szCs w:val="21"/>
                <w:highlight w:val="none"/>
              </w:rPr>
              <w:t>，以</w:t>
            </w:r>
            <w:r>
              <w:rPr>
                <w:spacing w:val="-4"/>
                <w:szCs w:val="21"/>
                <w:highlight w:val="none"/>
              </w:rPr>
              <w:t>谈判函中的投标</w:t>
            </w:r>
            <w:r>
              <w:rPr>
                <w:rFonts w:hint="eastAsia"/>
                <w:spacing w:val="-4"/>
                <w:szCs w:val="21"/>
                <w:highlight w:val="none"/>
              </w:rPr>
              <w:t>总</w:t>
            </w:r>
            <w:r>
              <w:rPr>
                <w:spacing w:val="-4"/>
                <w:szCs w:val="21"/>
                <w:highlight w:val="none"/>
              </w:rPr>
              <w:t>报价大写金额</w:t>
            </w:r>
            <w:r>
              <w:rPr>
                <w:rFonts w:hint="eastAsia"/>
                <w:spacing w:val="-4"/>
                <w:szCs w:val="21"/>
                <w:highlight w:val="none"/>
              </w:rPr>
              <w:t>为准</w:t>
            </w:r>
            <w:r>
              <w:rPr>
                <w:spacing w:val="-4"/>
                <w:szCs w:val="21"/>
                <w:highlight w:val="none"/>
              </w:rPr>
              <w:t>，并在</w:t>
            </w:r>
            <w:r>
              <w:rPr>
                <w:szCs w:val="21"/>
                <w:highlight w:val="none"/>
              </w:rPr>
              <w:t>签订合同协议书时</w:t>
            </w:r>
            <w:r>
              <w:rPr>
                <w:rFonts w:hint="eastAsia"/>
                <w:szCs w:val="21"/>
                <w:highlight w:val="none"/>
              </w:rPr>
              <w:t>维持</w:t>
            </w:r>
            <w:r>
              <w:rPr>
                <w:szCs w:val="21"/>
                <w:highlight w:val="none"/>
              </w:rPr>
              <w:t>增值税率不变的情况下对</w:t>
            </w:r>
            <w:r>
              <w:rPr>
                <w:rFonts w:hint="eastAsia"/>
                <w:szCs w:val="21"/>
                <w:highlight w:val="none"/>
              </w:rPr>
              <w:t>报价</w:t>
            </w:r>
            <w:r>
              <w:rPr>
                <w:szCs w:val="21"/>
                <w:highlight w:val="none"/>
              </w:rPr>
              <w:t>清单子项报价进行相应修正，修正原则如下：</w:t>
            </w:r>
          </w:p>
          <w:p>
            <w:pPr>
              <w:pStyle w:val="21"/>
              <w:adjustRightInd w:val="0"/>
              <w:snapToGrid w:val="0"/>
              <w:spacing w:line="400" w:lineRule="exact"/>
              <w:ind w:firstLine="413"/>
              <w:rPr>
                <w:rFonts w:ascii="Times New Roman" w:hAnsi="Times New Roman"/>
                <w:b/>
                <w:sz w:val="21"/>
                <w:szCs w:val="21"/>
                <w:highlight w:val="none"/>
              </w:rPr>
            </w:pPr>
            <w:r>
              <w:rPr>
                <w:spacing w:val="-4"/>
                <w:sz w:val="21"/>
                <w:szCs w:val="21"/>
                <w:highlight w:val="none"/>
              </w:rPr>
              <w:t>投标人</w:t>
            </w:r>
            <w:r>
              <w:rPr>
                <w:rFonts w:hint="eastAsia"/>
                <w:spacing w:val="-4"/>
                <w:sz w:val="21"/>
                <w:szCs w:val="21"/>
                <w:highlight w:val="none"/>
              </w:rPr>
              <w:t>最终</w:t>
            </w:r>
            <w:r>
              <w:rPr>
                <w:spacing w:val="-4"/>
                <w:sz w:val="21"/>
                <w:szCs w:val="21"/>
                <w:highlight w:val="none"/>
              </w:rPr>
              <w:t>报价的</w:t>
            </w:r>
            <w:r>
              <w:rPr>
                <w:rFonts w:hint="eastAsia"/>
                <w:spacing w:val="-4"/>
                <w:sz w:val="21"/>
                <w:szCs w:val="21"/>
                <w:highlight w:val="none"/>
              </w:rPr>
              <w:t>谈判</w:t>
            </w:r>
            <w:r>
              <w:rPr>
                <w:spacing w:val="-4"/>
                <w:sz w:val="21"/>
                <w:szCs w:val="21"/>
                <w:highlight w:val="none"/>
              </w:rPr>
              <w:t>函</w:t>
            </w:r>
            <w:r>
              <w:rPr>
                <w:rFonts w:hint="eastAsia"/>
                <w:spacing w:val="-4"/>
                <w:sz w:val="21"/>
                <w:szCs w:val="21"/>
                <w:highlight w:val="none"/>
              </w:rPr>
              <w:t>中</w:t>
            </w:r>
            <w:r>
              <w:rPr>
                <w:rFonts w:ascii="Times New Roman" w:hAnsi="Times New Roman"/>
                <w:b/>
                <w:sz w:val="21"/>
                <w:szCs w:val="21"/>
                <w:highlight w:val="none"/>
              </w:rPr>
              <w:t>投标</w:t>
            </w:r>
            <w:r>
              <w:rPr>
                <w:rFonts w:hint="eastAsia" w:ascii="Times New Roman" w:hAnsi="Times New Roman"/>
                <w:b/>
                <w:sz w:val="21"/>
                <w:szCs w:val="21"/>
                <w:highlight w:val="none"/>
              </w:rPr>
              <w:t>总</w:t>
            </w:r>
            <w:r>
              <w:rPr>
                <w:rFonts w:ascii="Times New Roman" w:hAnsi="Times New Roman"/>
                <w:b/>
                <w:sz w:val="21"/>
                <w:szCs w:val="21"/>
                <w:highlight w:val="none"/>
              </w:rPr>
              <w:t>报价大写金额与依据</w:t>
            </w:r>
            <w:r>
              <w:rPr>
                <w:rFonts w:hint="eastAsia" w:ascii="Times New Roman" w:hAnsi="Times New Roman"/>
                <w:b/>
                <w:sz w:val="21"/>
                <w:szCs w:val="21"/>
                <w:highlight w:val="none"/>
              </w:rPr>
              <w:t>报价</w:t>
            </w:r>
            <w:r>
              <w:rPr>
                <w:rFonts w:ascii="Times New Roman" w:hAnsi="Times New Roman"/>
                <w:b/>
                <w:sz w:val="21"/>
                <w:szCs w:val="21"/>
                <w:highlight w:val="none"/>
              </w:rPr>
              <w:t>清单子目数量及单价计算出的结果不一致的，以</w:t>
            </w:r>
            <w:r>
              <w:rPr>
                <w:rFonts w:hint="eastAsia" w:ascii="Times New Roman" w:hAnsi="Times New Roman"/>
                <w:b/>
                <w:sz w:val="21"/>
                <w:szCs w:val="21"/>
                <w:highlight w:val="none"/>
              </w:rPr>
              <w:t>谈判</w:t>
            </w:r>
            <w:r>
              <w:rPr>
                <w:rFonts w:ascii="Times New Roman" w:hAnsi="Times New Roman"/>
                <w:b/>
                <w:sz w:val="21"/>
                <w:szCs w:val="21"/>
                <w:highlight w:val="none"/>
              </w:rPr>
              <w:t>函中投标</w:t>
            </w:r>
            <w:r>
              <w:rPr>
                <w:rFonts w:hint="eastAsia" w:ascii="Times New Roman" w:hAnsi="Times New Roman"/>
                <w:b/>
                <w:sz w:val="21"/>
                <w:szCs w:val="21"/>
                <w:highlight w:val="none"/>
              </w:rPr>
              <w:t>总</w:t>
            </w:r>
            <w:r>
              <w:rPr>
                <w:rFonts w:ascii="Times New Roman" w:hAnsi="Times New Roman"/>
                <w:b/>
                <w:sz w:val="21"/>
                <w:szCs w:val="21"/>
                <w:highlight w:val="none"/>
              </w:rPr>
              <w:t>报价大写金额为准</w:t>
            </w:r>
            <w:r>
              <w:rPr>
                <w:rFonts w:hint="eastAsia" w:ascii="Times New Roman" w:hAnsi="Times New Roman"/>
                <w:b/>
                <w:sz w:val="21"/>
                <w:szCs w:val="21"/>
                <w:highlight w:val="none"/>
              </w:rPr>
              <w:t>对报价</w:t>
            </w:r>
            <w:r>
              <w:rPr>
                <w:rFonts w:ascii="Times New Roman" w:hAnsi="Times New Roman"/>
                <w:b/>
                <w:sz w:val="21"/>
                <w:szCs w:val="21"/>
                <w:highlight w:val="none"/>
              </w:rPr>
              <w:t>清单</w:t>
            </w:r>
            <w:r>
              <w:rPr>
                <w:rFonts w:hint="eastAsia" w:ascii="Times New Roman" w:hAnsi="Times New Roman"/>
                <w:b/>
                <w:sz w:val="21"/>
                <w:szCs w:val="21"/>
                <w:highlight w:val="none"/>
              </w:rPr>
              <w:t>中的</w:t>
            </w:r>
            <w:r>
              <w:rPr>
                <w:rFonts w:ascii="Times New Roman" w:hAnsi="Times New Roman"/>
                <w:b/>
                <w:sz w:val="21"/>
                <w:szCs w:val="21"/>
                <w:highlight w:val="none"/>
              </w:rPr>
              <w:t>单价</w:t>
            </w:r>
            <w:r>
              <w:rPr>
                <w:rFonts w:hint="eastAsia" w:ascii="Times New Roman" w:hAnsi="Times New Roman"/>
                <w:b/>
                <w:sz w:val="21"/>
                <w:szCs w:val="21"/>
                <w:highlight w:val="none"/>
              </w:rPr>
              <w:t>按</w:t>
            </w:r>
            <w:r>
              <w:rPr>
                <w:rFonts w:ascii="Times New Roman" w:hAnsi="Times New Roman"/>
                <w:b/>
                <w:sz w:val="21"/>
                <w:szCs w:val="21"/>
                <w:highlight w:val="none"/>
              </w:rPr>
              <w:t>同一比例修正。</w:t>
            </w:r>
          </w:p>
          <w:p>
            <w:pPr>
              <w:adjustRightInd w:val="0"/>
              <w:snapToGrid w:val="0"/>
              <w:spacing w:line="400" w:lineRule="exact"/>
              <w:ind w:firstLine="420" w:firstLineChars="200"/>
              <w:rPr>
                <w:rFonts w:ascii="宋体" w:hAnsi="宋体" w:cs="宋体"/>
                <w:szCs w:val="21"/>
                <w:highlight w:val="none"/>
              </w:rPr>
            </w:pPr>
            <w:r>
              <w:rPr>
                <w:szCs w:val="21"/>
                <w:highlight w:val="none"/>
              </w:rPr>
              <w:t>修正后的价格对合同双方具有约束力。如果</w:t>
            </w:r>
            <w:r>
              <w:rPr>
                <w:rFonts w:hint="eastAsia"/>
                <w:szCs w:val="21"/>
                <w:highlight w:val="none"/>
              </w:rPr>
              <w:t>成交人</w:t>
            </w:r>
            <w:r>
              <w:rPr>
                <w:szCs w:val="21"/>
                <w:highlight w:val="none"/>
              </w:rPr>
              <w:t>不接受</w:t>
            </w:r>
            <w:r>
              <w:rPr>
                <w:rFonts w:hint="eastAsia"/>
                <w:szCs w:val="21"/>
                <w:highlight w:val="none"/>
              </w:rPr>
              <w:t>采购</w:t>
            </w:r>
            <w:r>
              <w:rPr>
                <w:szCs w:val="21"/>
                <w:highlight w:val="none"/>
              </w:rPr>
              <w:t>人按本项约定进行的修正，则视为</w:t>
            </w:r>
            <w:r>
              <w:rPr>
                <w:rFonts w:hint="eastAsia"/>
                <w:szCs w:val="21"/>
                <w:highlight w:val="none"/>
              </w:rPr>
              <w:t>成交</w:t>
            </w:r>
            <w:r>
              <w:rPr>
                <w:szCs w:val="21"/>
                <w:highlight w:val="none"/>
              </w:rPr>
              <w:t>人拒签合同，</w:t>
            </w:r>
            <w:r>
              <w:rPr>
                <w:rFonts w:hint="eastAsia"/>
                <w:szCs w:val="21"/>
                <w:highlight w:val="none"/>
              </w:rPr>
              <w:t>招标人</w:t>
            </w:r>
            <w:r>
              <w:rPr>
                <w:szCs w:val="21"/>
                <w:highlight w:val="none"/>
              </w:rPr>
              <w:t>将取消其</w:t>
            </w:r>
            <w:r>
              <w:rPr>
                <w:rFonts w:hint="eastAsia"/>
                <w:szCs w:val="21"/>
                <w:highlight w:val="none"/>
              </w:rPr>
              <w:t>成交</w:t>
            </w:r>
            <w:r>
              <w:rPr>
                <w:szCs w:val="21"/>
                <w:highlight w:val="none"/>
              </w:rPr>
              <w:t>资格，</w:t>
            </w:r>
            <w:r>
              <w:rPr>
                <w:rFonts w:hint="eastAsia"/>
                <w:b/>
                <w:bCs/>
                <w:szCs w:val="21"/>
                <w:highlight w:val="none"/>
              </w:rPr>
              <w:t>谈判</w:t>
            </w:r>
            <w:r>
              <w:rPr>
                <w:b/>
                <w:bCs/>
                <w:szCs w:val="21"/>
                <w:highlight w:val="none"/>
              </w:rPr>
              <w:t>保证金不予退还</w:t>
            </w:r>
            <w:r>
              <w:rPr>
                <w:szCs w:val="21"/>
                <w:highlight w:val="none"/>
              </w:rPr>
              <w:t>，并上报省级交通主管部门，作为不良记录纳入</w:t>
            </w:r>
            <w:r>
              <w:rPr>
                <w:rFonts w:hint="eastAsia"/>
                <w:szCs w:val="21"/>
                <w:highlight w:val="none"/>
              </w:rPr>
              <w:t>交通</w:t>
            </w:r>
            <w:r>
              <w:rPr>
                <w:szCs w:val="21"/>
                <w:highlight w:val="none"/>
              </w:rPr>
              <w:t>建设市场信用管理系统。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78"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8</w:t>
            </w:r>
          </w:p>
        </w:tc>
        <w:tc>
          <w:tcPr>
            <w:tcW w:w="1879" w:type="dxa"/>
            <w:vAlign w:val="center"/>
          </w:tcPr>
          <w:p>
            <w:pPr>
              <w:adjustRightInd w:val="0"/>
              <w:snapToGrid w:val="0"/>
              <w:spacing w:line="400" w:lineRule="exact"/>
              <w:jc w:val="center"/>
              <w:rPr>
                <w:rFonts w:ascii="宋体" w:hAnsi="宋体"/>
                <w:color w:val="000000"/>
                <w:szCs w:val="21"/>
                <w:highlight w:val="none"/>
              </w:rPr>
            </w:pPr>
            <w:r>
              <w:rPr>
                <w:rFonts w:hint="eastAsia" w:ascii="宋体" w:hAnsi="宋体" w:cs="宋体"/>
                <w:szCs w:val="21"/>
                <w:highlight w:val="none"/>
              </w:rPr>
              <w:t>监督部门</w:t>
            </w:r>
          </w:p>
        </w:tc>
        <w:tc>
          <w:tcPr>
            <w:tcW w:w="6119" w:type="dxa"/>
          </w:tcPr>
          <w:p>
            <w:pPr>
              <w:widowControl/>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四川省交通投资集团有限责任公司</w:t>
            </w:r>
          </w:p>
          <w:p>
            <w:pPr>
              <w:pStyle w:val="27"/>
              <w:widowControl/>
              <w:adjustRightInd w:val="0"/>
              <w:snapToGrid w:val="0"/>
              <w:spacing w:after="0" w:line="400" w:lineRule="exact"/>
              <w:ind w:left="0" w:leftChars="0" w:firstLine="0" w:firstLineChars="0"/>
              <w:jc w:val="left"/>
              <w:rPr>
                <w:rFonts w:ascii="宋体" w:hAnsi="宋体" w:cs="宋体"/>
                <w:szCs w:val="21"/>
                <w:highlight w:val="none"/>
              </w:rPr>
            </w:pPr>
            <w:r>
              <w:rPr>
                <w:rFonts w:hint="eastAsia" w:ascii="宋体" w:hAnsi="宋体" w:cs="宋体"/>
                <w:szCs w:val="21"/>
                <w:highlight w:val="none"/>
              </w:rPr>
              <w:t>地址：成都市二环路西一段90 号</w:t>
            </w:r>
          </w:p>
          <w:p>
            <w:pPr>
              <w:widowControl/>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电话：028-85258893</w:t>
            </w:r>
          </w:p>
          <w:p>
            <w:pPr>
              <w:widowControl/>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四川交投物流有限公司纪检监察室</w:t>
            </w:r>
          </w:p>
          <w:p>
            <w:pPr>
              <w:widowControl/>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地址：</w:t>
            </w:r>
            <w:r>
              <w:rPr>
                <w:rFonts w:hint="eastAsia" w:ascii="宋体" w:hAnsi="宋体" w:cs="宋体"/>
                <w:kern w:val="0"/>
                <w:szCs w:val="21"/>
                <w:highlight w:val="none"/>
                <w:lang w:val="zh-CN" w:bidi="zh-CN"/>
              </w:rPr>
              <w:t>成都市锦江区三色路银海芯座B栋22层</w:t>
            </w:r>
          </w:p>
          <w:p>
            <w:pPr>
              <w:adjustRightInd w:val="0"/>
              <w:snapToGrid w:val="0"/>
              <w:spacing w:line="400" w:lineRule="exact"/>
              <w:rPr>
                <w:szCs w:val="21"/>
                <w:highlight w:val="none"/>
              </w:rPr>
            </w:pPr>
            <w:r>
              <w:rPr>
                <w:rFonts w:hint="eastAsia" w:ascii="宋体" w:hAnsi="宋体" w:cs="宋体"/>
                <w:szCs w:val="21"/>
                <w:highlight w:val="none"/>
              </w:rPr>
              <w:t>电话：028-</w:t>
            </w:r>
            <w:r>
              <w:rPr>
                <w:rFonts w:ascii="宋体" w:hAnsi="宋体"/>
                <w:szCs w:val="21"/>
                <w:highlight w:val="none"/>
              </w:rPr>
              <w:t>86669172</w:t>
            </w:r>
          </w:p>
        </w:tc>
      </w:tr>
      <w:bookmarkEnd w:id="14"/>
      <w:bookmarkEnd w:id="15"/>
      <w:bookmarkEnd w:id="16"/>
      <w:bookmarkEnd w:id="17"/>
    </w:tbl>
    <w:p>
      <w:pPr>
        <w:pStyle w:val="3"/>
        <w:spacing w:line="400" w:lineRule="exact"/>
        <w:jc w:val="center"/>
        <w:rPr>
          <w:rFonts w:ascii="宋体" w:hAnsi="宋体" w:eastAsia="宋体"/>
          <w:color w:val="000000"/>
          <w:highlight w:val="none"/>
        </w:rPr>
      </w:pPr>
      <w:bookmarkStart w:id="30" w:name="_Toc77400778"/>
      <w:bookmarkStart w:id="31" w:name="_Toc89075873"/>
      <w:bookmarkStart w:id="32" w:name="_Toc183582204"/>
      <w:bookmarkStart w:id="33" w:name="_Toc183682341"/>
      <w:bookmarkStart w:id="34" w:name="_Toc325464814"/>
      <w:bookmarkStart w:id="35" w:name="_Toc217446033"/>
      <w:r>
        <w:rPr>
          <w:rFonts w:ascii="宋体" w:hAnsi="宋体" w:eastAsia="宋体"/>
          <w:color w:val="000000"/>
          <w:highlight w:val="none"/>
        </w:rPr>
        <w:br w:type="page"/>
      </w:r>
      <w:bookmarkStart w:id="36" w:name="_Toc339565659"/>
      <w:bookmarkStart w:id="37" w:name="_Toc7262"/>
      <w:bookmarkStart w:id="38" w:name="_Toc50654806"/>
      <w:bookmarkStart w:id="39" w:name="_Toc28874"/>
      <w:bookmarkStart w:id="40" w:name="_Toc27645"/>
      <w:bookmarkStart w:id="41" w:name="_Toc9646"/>
      <w:r>
        <w:rPr>
          <w:rFonts w:hint="eastAsia" w:ascii="宋体" w:hAnsi="宋体" w:eastAsia="宋体"/>
          <w:color w:val="000000"/>
          <w:highlight w:val="none"/>
        </w:rPr>
        <w:t>一、总  则</w:t>
      </w:r>
      <w:bookmarkEnd w:id="30"/>
      <w:bookmarkEnd w:id="31"/>
      <w:bookmarkEnd w:id="32"/>
      <w:bookmarkEnd w:id="33"/>
      <w:bookmarkEnd w:id="34"/>
      <w:bookmarkEnd w:id="35"/>
      <w:bookmarkEnd w:id="36"/>
      <w:bookmarkEnd w:id="37"/>
      <w:bookmarkEnd w:id="38"/>
      <w:bookmarkEnd w:id="39"/>
      <w:bookmarkEnd w:id="40"/>
      <w:bookmarkEnd w:id="41"/>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42" w:name="_Toc183682342"/>
      <w:bookmarkStart w:id="43" w:name="_Toc183582205"/>
      <w:bookmarkStart w:id="44" w:name="_Toc9702"/>
      <w:bookmarkStart w:id="45" w:name="_Toc30035"/>
      <w:bookmarkStart w:id="46" w:name="_Toc17254"/>
      <w:bookmarkStart w:id="47" w:name="_Toc50654807"/>
      <w:bookmarkStart w:id="48" w:name="_Toc325464815"/>
      <w:bookmarkStart w:id="49" w:name="_Toc317509384"/>
      <w:bookmarkStart w:id="50" w:name="_Toc217446034"/>
      <w:bookmarkStart w:id="51" w:name="_Toc339565660"/>
      <w:bookmarkStart w:id="52" w:name="_Toc325096466"/>
      <w:bookmarkStart w:id="53" w:name="_Toc2933"/>
      <w:bookmarkStart w:id="54" w:name="_Toc317509231"/>
      <w:r>
        <w:rPr>
          <w:rFonts w:hint="eastAsia" w:ascii="宋体" w:hAnsi="宋体"/>
          <w:color w:val="000000"/>
          <w:sz w:val="21"/>
          <w:szCs w:val="21"/>
          <w:highlight w:val="none"/>
        </w:rPr>
        <w:t>1.</w:t>
      </w:r>
      <w:bookmarkEnd w:id="42"/>
      <w:bookmarkEnd w:id="43"/>
      <w:r>
        <w:rPr>
          <w:rFonts w:hint="eastAsia" w:ascii="宋体" w:hAnsi="宋体"/>
          <w:color w:val="000000"/>
          <w:sz w:val="21"/>
          <w:szCs w:val="21"/>
          <w:highlight w:val="none"/>
        </w:rPr>
        <w:t xml:space="preserve"> 适用范围</w:t>
      </w:r>
      <w:bookmarkEnd w:id="44"/>
      <w:bookmarkEnd w:id="45"/>
      <w:bookmarkEnd w:id="46"/>
      <w:bookmarkEnd w:id="47"/>
      <w:bookmarkEnd w:id="48"/>
      <w:bookmarkEnd w:id="49"/>
      <w:bookmarkEnd w:id="50"/>
      <w:bookmarkEnd w:id="51"/>
      <w:bookmarkEnd w:id="52"/>
      <w:bookmarkEnd w:id="53"/>
      <w:bookmarkEnd w:id="54"/>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1.1 本竞争性谈判文件仅适用于本次竞争性谈判所叙述的货物船舶运输项目。</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1.2 本谈判文件的解释权归招标人和招标咨询机构所有。</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55" w:name="_Toc183682343"/>
      <w:bookmarkStart w:id="56" w:name="_Toc183582206"/>
      <w:bookmarkStart w:id="57" w:name="_Toc217446035"/>
      <w:bookmarkStart w:id="58" w:name="_Toc14812"/>
      <w:bookmarkStart w:id="59" w:name="_Toc50654808"/>
      <w:bookmarkStart w:id="60" w:name="_Toc317509385"/>
      <w:bookmarkStart w:id="61" w:name="_Toc325464816"/>
      <w:bookmarkStart w:id="62" w:name="_Toc25520"/>
      <w:bookmarkStart w:id="63" w:name="_Toc325096467"/>
      <w:bookmarkStart w:id="64" w:name="_Toc339565661"/>
      <w:bookmarkStart w:id="65" w:name="_Toc380"/>
      <w:bookmarkStart w:id="66" w:name="_Toc21743"/>
      <w:bookmarkStart w:id="67" w:name="_Toc317509232"/>
      <w:r>
        <w:rPr>
          <w:rFonts w:hint="eastAsia" w:ascii="宋体" w:hAnsi="宋体"/>
          <w:color w:val="000000"/>
          <w:sz w:val="21"/>
          <w:szCs w:val="21"/>
          <w:highlight w:val="none"/>
        </w:rPr>
        <w:t xml:space="preserve">2. </w:t>
      </w:r>
      <w:bookmarkEnd w:id="55"/>
      <w:bookmarkEnd w:id="56"/>
      <w:r>
        <w:rPr>
          <w:rFonts w:hint="eastAsia" w:ascii="宋体" w:hAnsi="宋体"/>
          <w:color w:val="000000"/>
          <w:sz w:val="21"/>
          <w:szCs w:val="21"/>
          <w:highlight w:val="none"/>
        </w:rPr>
        <w:t>有关定义</w:t>
      </w:r>
      <w:bookmarkEnd w:id="57"/>
      <w:bookmarkEnd w:id="58"/>
      <w:bookmarkEnd w:id="59"/>
      <w:bookmarkEnd w:id="60"/>
      <w:bookmarkEnd w:id="61"/>
      <w:bookmarkEnd w:id="62"/>
      <w:bookmarkEnd w:id="63"/>
      <w:bookmarkEnd w:id="64"/>
      <w:bookmarkEnd w:id="65"/>
      <w:bookmarkEnd w:id="66"/>
      <w:bookmarkEnd w:id="67"/>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2.1 “招标人”系指依法进行招标活动的国家机关、事业单位、团体组织。本次竞争性谈判的招标人是</w:t>
      </w:r>
      <w:r>
        <w:rPr>
          <w:rFonts w:hint="eastAsia" w:ascii="宋体" w:hAnsi="宋体" w:cs="宋体"/>
          <w:szCs w:val="21"/>
          <w:highlight w:val="none"/>
        </w:rPr>
        <w:t>四川交投物流有限公司</w:t>
      </w:r>
      <w:r>
        <w:rPr>
          <w:rFonts w:hint="eastAsia" w:ascii="宋体" w:hAnsi="宋体"/>
          <w:color w:val="000000"/>
          <w:szCs w:val="21"/>
          <w:highlight w:val="none"/>
        </w:rPr>
        <w:t>。</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2.2 “招标咨询机构” 系指根据招标人的委托依法办理竞争性谈判事宜的代理机构。本次竞争性谈判的招标咨询机构是</w:t>
      </w:r>
      <w:r>
        <w:rPr>
          <w:rFonts w:hint="eastAsia"/>
          <w:color w:val="000000"/>
          <w:szCs w:val="21"/>
          <w:highlight w:val="none"/>
          <w:u w:val="single"/>
        </w:rPr>
        <w:t>四川省川交公路工程咨询有限公司</w:t>
      </w:r>
      <w:r>
        <w:rPr>
          <w:rFonts w:hint="eastAsia" w:ascii="宋体" w:hAnsi="宋体"/>
          <w:color w:val="000000"/>
          <w:szCs w:val="21"/>
          <w:highlight w:val="none"/>
        </w:rPr>
        <w:t>。</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2.3 “采购人”系指本次谈判的采购</w:t>
      </w:r>
      <w:r>
        <w:rPr>
          <w:rFonts w:ascii="宋体" w:hAnsi="宋体"/>
          <w:color w:val="000000"/>
          <w:szCs w:val="21"/>
          <w:highlight w:val="none"/>
        </w:rPr>
        <w:t>主体：</w:t>
      </w:r>
      <w:r>
        <w:rPr>
          <w:rFonts w:hint="eastAsia" w:ascii="宋体" w:hAnsi="宋体" w:cs="宋体"/>
          <w:szCs w:val="21"/>
          <w:highlight w:val="none"/>
        </w:rPr>
        <w:t>四川交投物流有限公司</w:t>
      </w:r>
      <w:r>
        <w:rPr>
          <w:rFonts w:hint="eastAsia" w:ascii="宋体" w:hAnsi="宋体"/>
          <w:color w:val="000000"/>
          <w:szCs w:val="21"/>
          <w:highlight w:val="none"/>
        </w:rPr>
        <w:t>。</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2.4 “采购单位”系指“招标人”和“招标咨询机构”的统称。</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2.5“成交投标人”系指下载竞争性谈判文件，参加谈判和最终向采购人提供相应运输服务的的承运商。</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68" w:name="_Toc24608"/>
      <w:bookmarkStart w:id="69" w:name="_Toc325096468"/>
      <w:bookmarkStart w:id="70" w:name="_Toc317509233"/>
      <w:bookmarkStart w:id="71" w:name="_Toc317509386"/>
      <w:bookmarkStart w:id="72" w:name="_Toc339565662"/>
      <w:bookmarkStart w:id="73" w:name="_Toc325464817"/>
      <w:bookmarkStart w:id="74" w:name="_Toc27204"/>
      <w:bookmarkStart w:id="75" w:name="_Toc183682344"/>
      <w:bookmarkStart w:id="76" w:name="_Toc217390843"/>
      <w:bookmarkStart w:id="77" w:name="_Toc17407"/>
      <w:bookmarkStart w:id="78" w:name="_Toc18161"/>
      <w:bookmarkStart w:id="79" w:name="_Toc217446036"/>
      <w:bookmarkStart w:id="80" w:name="_Toc183582207"/>
      <w:bookmarkStart w:id="81" w:name="_Toc50654809"/>
      <w:r>
        <w:rPr>
          <w:rFonts w:hint="eastAsia" w:ascii="宋体" w:hAnsi="宋体"/>
          <w:color w:val="000000"/>
          <w:sz w:val="21"/>
          <w:szCs w:val="21"/>
          <w:highlight w:val="none"/>
        </w:rPr>
        <w:t>3. 合格的</w:t>
      </w:r>
      <w:bookmarkEnd w:id="68"/>
      <w:bookmarkEnd w:id="69"/>
      <w:bookmarkEnd w:id="70"/>
      <w:bookmarkEnd w:id="71"/>
      <w:bookmarkEnd w:id="72"/>
      <w:bookmarkEnd w:id="73"/>
      <w:bookmarkEnd w:id="74"/>
      <w:bookmarkEnd w:id="75"/>
      <w:bookmarkEnd w:id="76"/>
      <w:bookmarkEnd w:id="77"/>
      <w:bookmarkEnd w:id="78"/>
      <w:bookmarkEnd w:id="79"/>
      <w:bookmarkEnd w:id="80"/>
      <w:r>
        <w:rPr>
          <w:rFonts w:hint="eastAsia" w:ascii="宋体" w:hAnsi="宋体"/>
          <w:color w:val="000000"/>
          <w:sz w:val="21"/>
          <w:szCs w:val="21"/>
          <w:highlight w:val="none"/>
        </w:rPr>
        <w:t>投标人</w:t>
      </w:r>
      <w:bookmarkEnd w:id="81"/>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3.1合格的投标人应具备以下条件：</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(1)具备“谈判公告”第3条的资格条件；</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2</w:t>
      </w:r>
      <w:r>
        <w:rPr>
          <w:rFonts w:hint="eastAsia" w:ascii="宋体" w:hAnsi="宋体"/>
          <w:color w:val="000000"/>
          <w:szCs w:val="21"/>
          <w:highlight w:val="none"/>
        </w:rPr>
        <w:t>)符合竞争性谈判文件和法律、行政法规规定的其他条件。</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3.2投标人不得存在下列情形之一：</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w:t>
      </w:r>
      <w:r>
        <w:rPr>
          <w:rFonts w:hint="eastAsia" w:ascii="宋体" w:hAnsi="宋体"/>
          <w:color w:val="000000"/>
          <w:szCs w:val="21"/>
          <w:highlight w:val="none"/>
        </w:rPr>
        <w:t>）与招标人存在利害关系且可能影响招标公正性；</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2</w:t>
      </w:r>
      <w:r>
        <w:rPr>
          <w:rFonts w:hint="eastAsia" w:ascii="宋体" w:hAnsi="宋体"/>
          <w:color w:val="000000"/>
          <w:szCs w:val="21"/>
          <w:highlight w:val="none"/>
        </w:rPr>
        <w:t>）与本招标项目的其他投标人为同一个单位负责人；</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3</w:t>
      </w:r>
      <w:r>
        <w:rPr>
          <w:rFonts w:hint="eastAsia" w:ascii="宋体" w:hAnsi="宋体"/>
          <w:color w:val="000000"/>
          <w:szCs w:val="21"/>
          <w:highlight w:val="none"/>
        </w:rPr>
        <w:t>）与本招标项目的其他投标人存在控股、管理关系；</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4</w:t>
      </w:r>
      <w:r>
        <w:rPr>
          <w:rFonts w:hint="eastAsia" w:ascii="宋体" w:hAnsi="宋体"/>
          <w:color w:val="000000"/>
          <w:szCs w:val="21"/>
          <w:highlight w:val="none"/>
        </w:rPr>
        <w:t>）为本招标项目提供过设计、编制技术规范和其他文件的咨询服务；</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5</w:t>
      </w:r>
      <w:r>
        <w:rPr>
          <w:rFonts w:hint="eastAsia" w:ascii="宋体" w:hAnsi="宋体"/>
          <w:color w:val="000000"/>
          <w:szCs w:val="21"/>
          <w:highlight w:val="none"/>
        </w:rPr>
        <w:t>）为本工程项目的相关监理人，或者与本工程项目的相关监理人存在隶属关系或者其他利害关系；</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6</w:t>
      </w:r>
      <w:r>
        <w:rPr>
          <w:rFonts w:hint="eastAsia" w:ascii="宋体" w:hAnsi="宋体"/>
          <w:color w:val="000000"/>
          <w:szCs w:val="21"/>
          <w:highlight w:val="none"/>
        </w:rPr>
        <w:t>）为本招标项目的代建人；</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7</w:t>
      </w:r>
      <w:r>
        <w:rPr>
          <w:rFonts w:hint="eastAsia" w:ascii="宋体" w:hAnsi="宋体"/>
          <w:color w:val="000000"/>
          <w:szCs w:val="21"/>
          <w:highlight w:val="none"/>
        </w:rPr>
        <w:t>）为本招标项目的招标代理机构；</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8</w:t>
      </w:r>
      <w:r>
        <w:rPr>
          <w:rFonts w:hint="eastAsia" w:ascii="宋体" w:hAnsi="宋体"/>
          <w:color w:val="000000"/>
          <w:szCs w:val="21"/>
          <w:highlight w:val="none"/>
        </w:rPr>
        <w:t>）与本招标项目的监理人或代建人或招标代理机构同为一个法定代表人；</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9</w:t>
      </w:r>
      <w:r>
        <w:rPr>
          <w:rFonts w:hint="eastAsia" w:ascii="宋体" w:hAnsi="宋体"/>
          <w:color w:val="000000"/>
          <w:szCs w:val="21"/>
          <w:highlight w:val="none"/>
        </w:rPr>
        <w:t>）与本招标项目的监理人或代建人或招标代理机构存在控股或参股关系；</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10</w:t>
      </w:r>
      <w:r>
        <w:rPr>
          <w:rFonts w:hint="eastAsia" w:ascii="宋体" w:hAnsi="宋体"/>
          <w:color w:val="000000"/>
          <w:szCs w:val="21"/>
          <w:highlight w:val="none"/>
        </w:rPr>
        <w:t>）被依法暂停或者取消投标资格；</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11</w:t>
      </w:r>
      <w:r>
        <w:rPr>
          <w:rFonts w:hint="eastAsia" w:ascii="宋体" w:hAnsi="宋体"/>
          <w:color w:val="000000"/>
          <w:szCs w:val="21"/>
          <w:highlight w:val="none"/>
        </w:rPr>
        <w:t>）被责令停产停业、暂扣或者吊销许可证、暂扣或者吊销执照；</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12</w:t>
      </w:r>
      <w:r>
        <w:rPr>
          <w:rFonts w:hint="eastAsia" w:ascii="宋体" w:hAnsi="宋体"/>
          <w:color w:val="000000"/>
          <w:szCs w:val="21"/>
          <w:highlight w:val="none"/>
        </w:rPr>
        <w:t>）进入清算程序，或被宣告破产，或其他丧失履约能力的情形；</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13</w:t>
      </w:r>
      <w:r>
        <w:rPr>
          <w:rFonts w:hint="eastAsia" w:ascii="宋体" w:hAnsi="宋体"/>
          <w:color w:val="000000"/>
          <w:szCs w:val="21"/>
          <w:highlight w:val="none"/>
        </w:rPr>
        <w:t>）在最近三年内发生重大产品质量问题（以相关行业主管部门的行政处罚决定或司法机关出具的有关法律文书为准）；</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14</w:t>
      </w:r>
      <w:r>
        <w:rPr>
          <w:rFonts w:hint="eastAsia" w:ascii="宋体" w:hAnsi="宋体"/>
          <w:color w:val="000000"/>
          <w:szCs w:val="21"/>
          <w:highlight w:val="none"/>
        </w:rPr>
        <w:t>）被工商行政管理机关在全国企业信用信息公示系统中列入严重违法失信企业名单；</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15</w:t>
      </w:r>
      <w:r>
        <w:rPr>
          <w:rFonts w:hint="eastAsia" w:ascii="宋体" w:hAnsi="宋体"/>
          <w:color w:val="000000"/>
          <w:szCs w:val="21"/>
          <w:highlight w:val="none"/>
        </w:rPr>
        <w:t>）被最高人民法院在</w:t>
      </w:r>
      <w:r>
        <w:rPr>
          <w:rFonts w:ascii="宋体" w:hAnsi="宋体"/>
          <w:color w:val="000000"/>
          <w:szCs w:val="21"/>
          <w:highlight w:val="none"/>
        </w:rPr>
        <w:t>“</w:t>
      </w:r>
      <w:r>
        <w:rPr>
          <w:rFonts w:hint="eastAsia" w:ascii="宋体" w:hAnsi="宋体"/>
          <w:color w:val="000000"/>
          <w:szCs w:val="21"/>
          <w:highlight w:val="none"/>
        </w:rPr>
        <w:t>信用中国</w:t>
      </w:r>
      <w:r>
        <w:rPr>
          <w:rFonts w:ascii="宋体" w:hAnsi="宋体"/>
          <w:color w:val="000000"/>
          <w:szCs w:val="21"/>
          <w:highlight w:val="none"/>
        </w:rPr>
        <w:t>”</w:t>
      </w:r>
      <w:r>
        <w:rPr>
          <w:rFonts w:hint="eastAsia" w:ascii="宋体" w:hAnsi="宋体"/>
          <w:color w:val="000000"/>
          <w:szCs w:val="21"/>
          <w:highlight w:val="none"/>
        </w:rPr>
        <w:t>网站（</w:t>
      </w:r>
      <w:r>
        <w:rPr>
          <w:rFonts w:ascii="宋体" w:hAnsi="宋体"/>
          <w:color w:val="000000"/>
          <w:szCs w:val="21"/>
          <w:highlight w:val="none"/>
        </w:rPr>
        <w:t>www.creditchina.gov.cn</w:t>
      </w:r>
      <w:r>
        <w:rPr>
          <w:rFonts w:hint="eastAsia" w:ascii="宋体" w:hAnsi="宋体"/>
          <w:color w:val="000000"/>
          <w:szCs w:val="21"/>
          <w:highlight w:val="none"/>
        </w:rPr>
        <w:t>）或各级信用信息共享平台中列入失信被执行人名单；</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16</w:t>
      </w:r>
      <w:r>
        <w:rPr>
          <w:rFonts w:hint="eastAsia" w:ascii="宋体" w:hAnsi="宋体"/>
          <w:color w:val="000000"/>
          <w:szCs w:val="21"/>
          <w:highlight w:val="none"/>
        </w:rPr>
        <w:t>）在近三年内投标人或其法定代表人有行贿犯罪行为的；</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17</w:t>
      </w:r>
      <w:r>
        <w:rPr>
          <w:rFonts w:hint="eastAsia" w:ascii="宋体" w:hAnsi="宋体"/>
          <w:color w:val="000000"/>
          <w:szCs w:val="21"/>
          <w:highlight w:val="none"/>
        </w:rPr>
        <w:t>）法律法规或谈判须知前附表规定的其他情形。</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82" w:name="_Toc317509234"/>
      <w:bookmarkStart w:id="83" w:name="_Toc183582208"/>
      <w:bookmarkStart w:id="84" w:name="_Toc317509387"/>
      <w:bookmarkStart w:id="85" w:name="_Toc8680"/>
      <w:bookmarkStart w:id="86" w:name="_Toc325464818"/>
      <w:bookmarkStart w:id="87" w:name="_Toc183682345"/>
      <w:bookmarkStart w:id="88" w:name="_Toc3190"/>
      <w:bookmarkStart w:id="89" w:name="_Toc325096469"/>
      <w:bookmarkStart w:id="90" w:name="_Toc19587"/>
      <w:bookmarkStart w:id="91" w:name="_Toc339565663"/>
      <w:bookmarkStart w:id="92" w:name="_Toc217446037"/>
      <w:bookmarkStart w:id="93" w:name="_Toc29512"/>
      <w:bookmarkStart w:id="94" w:name="_Toc50654810"/>
      <w:r>
        <w:rPr>
          <w:rFonts w:hint="eastAsia" w:ascii="宋体" w:hAnsi="宋体"/>
          <w:color w:val="000000"/>
          <w:sz w:val="21"/>
          <w:szCs w:val="21"/>
          <w:highlight w:val="none"/>
        </w:rPr>
        <w:t>4. 谈判费用</w:t>
      </w:r>
      <w:bookmarkEnd w:id="82"/>
      <w:bookmarkEnd w:id="83"/>
      <w:bookmarkEnd w:id="84"/>
      <w:bookmarkEnd w:id="85"/>
      <w:bookmarkEnd w:id="86"/>
      <w:bookmarkEnd w:id="87"/>
      <w:bookmarkEnd w:id="88"/>
      <w:bookmarkEnd w:id="89"/>
      <w:bookmarkEnd w:id="90"/>
      <w:bookmarkEnd w:id="91"/>
      <w:bookmarkEnd w:id="92"/>
      <w:bookmarkEnd w:id="93"/>
      <w:bookmarkEnd w:id="94"/>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4.1投标人应自行承担参加谈判的全部一切费用。</w:t>
      </w:r>
    </w:p>
    <w:p>
      <w:pPr>
        <w:pStyle w:val="3"/>
        <w:spacing w:line="400" w:lineRule="exact"/>
        <w:jc w:val="center"/>
        <w:rPr>
          <w:rFonts w:ascii="宋体" w:hAnsi="宋体" w:eastAsia="宋体"/>
          <w:color w:val="000000"/>
          <w:sz w:val="21"/>
          <w:szCs w:val="21"/>
          <w:highlight w:val="none"/>
        </w:rPr>
      </w:pPr>
      <w:bookmarkStart w:id="95" w:name="_Toc6256"/>
      <w:bookmarkStart w:id="96" w:name="_Toc10273"/>
      <w:bookmarkStart w:id="97" w:name="_Toc89075875"/>
      <w:bookmarkStart w:id="98" w:name="_Toc12318"/>
      <w:bookmarkStart w:id="99" w:name="_Toc20023"/>
      <w:bookmarkStart w:id="100" w:name="_Toc217446038"/>
      <w:bookmarkStart w:id="101" w:name="_Toc339565664"/>
      <w:bookmarkStart w:id="102" w:name="_Toc183582209"/>
      <w:bookmarkStart w:id="103" w:name="_Toc183682346"/>
      <w:bookmarkStart w:id="104" w:name="_Toc50654811"/>
      <w:bookmarkStart w:id="105" w:name="_Toc325464819"/>
      <w:bookmarkStart w:id="106" w:name="_Toc77400779"/>
      <w:r>
        <w:rPr>
          <w:rFonts w:hint="eastAsia" w:ascii="宋体" w:hAnsi="宋体" w:eastAsia="宋体"/>
          <w:color w:val="000000"/>
          <w:sz w:val="21"/>
          <w:szCs w:val="21"/>
          <w:highlight w:val="none"/>
        </w:rPr>
        <w:t>二、竞争性谈判文件</w:t>
      </w:r>
      <w:bookmarkEnd w:id="95"/>
      <w:bookmarkEnd w:id="96"/>
      <w:bookmarkEnd w:id="97"/>
      <w:bookmarkEnd w:id="98"/>
      <w:bookmarkEnd w:id="99"/>
      <w:bookmarkEnd w:id="100"/>
      <w:bookmarkEnd w:id="101"/>
      <w:bookmarkEnd w:id="102"/>
      <w:bookmarkEnd w:id="103"/>
      <w:bookmarkEnd w:id="104"/>
      <w:bookmarkEnd w:id="105"/>
      <w:bookmarkEnd w:id="106"/>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07" w:name="_Toc183682347"/>
      <w:bookmarkStart w:id="108" w:name="_Toc50654812"/>
      <w:bookmarkStart w:id="109" w:name="_Toc217446039"/>
      <w:bookmarkStart w:id="110" w:name="_Toc325096471"/>
      <w:bookmarkStart w:id="111" w:name="_Toc339565665"/>
      <w:bookmarkStart w:id="112" w:name="_Toc22829"/>
      <w:bookmarkStart w:id="113" w:name="_Toc317509236"/>
      <w:bookmarkStart w:id="114" w:name="_Toc325464820"/>
      <w:bookmarkStart w:id="115" w:name="_Toc183582210"/>
      <w:bookmarkStart w:id="116" w:name="_Toc17243"/>
      <w:bookmarkStart w:id="117" w:name="_Toc30958"/>
      <w:bookmarkStart w:id="118" w:name="_Toc28553"/>
      <w:bookmarkStart w:id="119" w:name="_Toc317509389"/>
      <w:r>
        <w:rPr>
          <w:rFonts w:hint="eastAsia" w:ascii="宋体" w:hAnsi="宋体"/>
          <w:color w:val="000000"/>
          <w:sz w:val="21"/>
          <w:szCs w:val="21"/>
          <w:highlight w:val="none"/>
        </w:rPr>
        <w:t>5．竞争性谈判文件的构成</w:t>
      </w:r>
      <w:bookmarkEnd w:id="107"/>
      <w:bookmarkEnd w:id="108"/>
      <w:bookmarkEnd w:id="109"/>
      <w:bookmarkEnd w:id="110"/>
      <w:bookmarkEnd w:id="111"/>
      <w:bookmarkEnd w:id="112"/>
      <w:bookmarkEnd w:id="113"/>
      <w:bookmarkEnd w:id="114"/>
      <w:bookmarkEnd w:id="115"/>
      <w:bookmarkEnd w:id="116"/>
      <w:bookmarkEnd w:id="117"/>
      <w:bookmarkEnd w:id="118"/>
      <w:bookmarkEnd w:id="119"/>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5.1 竞争性谈判文件用以阐明竞争性谈判项目所需的资质、质量标准、服务及报价等要求、竞争性谈判谈判程序、有关规定和注意事项以及合同条款等。本竞争性谈判文件包括以下内容：</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 xml:space="preserve">(1)谈判公告；  </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(2)谈判须知；</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w:t>
      </w:r>
      <w:r>
        <w:rPr>
          <w:rFonts w:hint="eastAsia" w:ascii="宋体" w:hAnsi="宋体" w:cs="宋体"/>
          <w:szCs w:val="21"/>
          <w:highlight w:val="none"/>
        </w:rPr>
        <w:t xml:space="preserve"> 船舶运输服务</w:t>
      </w:r>
      <w:r>
        <w:rPr>
          <w:rFonts w:hint="eastAsia" w:ascii="宋体" w:hAnsi="宋体"/>
          <w:color w:val="000000"/>
          <w:szCs w:val="21"/>
          <w:highlight w:val="none"/>
        </w:rPr>
        <w:t>要求；</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 xml:space="preserve">(4)投标人响应文件格式； </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(5)合同条款。</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6</w:t>
      </w:r>
      <w:r>
        <w:rPr>
          <w:rFonts w:hint="eastAsia" w:ascii="宋体" w:hAnsi="宋体"/>
          <w:color w:val="000000"/>
          <w:szCs w:val="21"/>
          <w:highlight w:val="none"/>
        </w:rPr>
        <w:t>)评审方法。</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5.2投标人应认真阅读和充分理解竞争性谈判文件中所有的事项、格式条款和规范要求。投标人没有对竞争性谈判文件全面做出实质性响应是投标人的风险。没有按照竞争性谈判文件要求作出实质性响应的响应文件将被拒绝。</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20" w:name="_Toc183582211"/>
      <w:bookmarkStart w:id="121" w:name="_Toc183682348"/>
      <w:bookmarkStart w:id="122" w:name="_Toc8820"/>
      <w:bookmarkStart w:id="123" w:name="_Toc50654813"/>
      <w:bookmarkStart w:id="124" w:name="_Toc339565666"/>
      <w:bookmarkStart w:id="125" w:name="_Toc26432"/>
      <w:bookmarkStart w:id="126" w:name="_Toc8113"/>
      <w:bookmarkStart w:id="127" w:name="_Toc317509237"/>
      <w:bookmarkStart w:id="128" w:name="_Toc325096472"/>
      <w:bookmarkStart w:id="129" w:name="_Toc217446040"/>
      <w:bookmarkStart w:id="130" w:name="_Toc317509390"/>
      <w:bookmarkStart w:id="131" w:name="_Toc325464821"/>
      <w:bookmarkStart w:id="132" w:name="_Toc16987"/>
      <w:r>
        <w:rPr>
          <w:rFonts w:hint="eastAsia" w:ascii="宋体" w:hAnsi="宋体"/>
          <w:color w:val="000000"/>
          <w:sz w:val="21"/>
          <w:szCs w:val="21"/>
          <w:highlight w:val="none"/>
        </w:rPr>
        <w:t>6. 竞争性谈判文件的澄清</w:t>
      </w:r>
      <w:bookmarkEnd w:id="120"/>
      <w:bookmarkEnd w:id="121"/>
      <w:r>
        <w:rPr>
          <w:rFonts w:hint="eastAsia" w:ascii="宋体" w:hAnsi="宋体"/>
          <w:color w:val="000000"/>
          <w:sz w:val="21"/>
          <w:szCs w:val="21"/>
          <w:highlight w:val="none"/>
        </w:rPr>
        <w:t>和修改</w:t>
      </w:r>
      <w:bookmarkEnd w:id="122"/>
      <w:bookmarkEnd w:id="123"/>
      <w:bookmarkEnd w:id="124"/>
      <w:bookmarkEnd w:id="125"/>
      <w:bookmarkEnd w:id="126"/>
      <w:bookmarkEnd w:id="127"/>
      <w:bookmarkEnd w:id="128"/>
      <w:bookmarkEnd w:id="129"/>
      <w:bookmarkEnd w:id="130"/>
      <w:bookmarkEnd w:id="131"/>
      <w:bookmarkEnd w:id="132"/>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6.1 在谈判截止时间三日之前，采购单位无论出于何种原因，均可以对竞争性谈判文件进行澄清或者修改。</w:t>
      </w:r>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6.2在谈判期间，谈判小组获得招标人同意后，根据实际谈判情况，可以对竞争性谈判文件进行澄清或者修改。</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33" w:name="_Toc183582213"/>
      <w:bookmarkStart w:id="134" w:name="_Toc183682350"/>
      <w:bookmarkStart w:id="135" w:name="_Toc50654814"/>
      <w:bookmarkStart w:id="136" w:name="_Toc339565667"/>
      <w:bookmarkStart w:id="137" w:name="_Toc317509391"/>
      <w:bookmarkStart w:id="138" w:name="_Toc317509238"/>
      <w:bookmarkStart w:id="139" w:name="_Toc9688"/>
      <w:bookmarkStart w:id="140" w:name="_Toc208848971"/>
      <w:bookmarkStart w:id="141" w:name="_Toc325464822"/>
      <w:bookmarkStart w:id="142" w:name="_Toc460"/>
      <w:bookmarkStart w:id="143" w:name="_Toc325096473"/>
      <w:bookmarkStart w:id="144" w:name="_Toc31978"/>
      <w:bookmarkStart w:id="145" w:name="_Toc217446041"/>
      <w:bookmarkStart w:id="146" w:name="_Toc16836"/>
      <w:bookmarkStart w:id="147" w:name="_Toc183682351"/>
      <w:bookmarkStart w:id="148" w:name="_Toc183582214"/>
      <w:bookmarkStart w:id="149" w:name="_Toc77400780"/>
      <w:bookmarkStart w:id="150" w:name="_Toc217446042"/>
      <w:bookmarkStart w:id="151" w:name="_Toc89075876"/>
      <w:r>
        <w:rPr>
          <w:rFonts w:hint="eastAsia" w:ascii="宋体" w:hAnsi="宋体"/>
          <w:color w:val="000000"/>
          <w:sz w:val="21"/>
          <w:szCs w:val="21"/>
          <w:highlight w:val="none"/>
        </w:rPr>
        <w:t>7</w:t>
      </w:r>
      <w:bookmarkEnd w:id="133"/>
      <w:bookmarkEnd w:id="134"/>
      <w:r>
        <w:rPr>
          <w:rFonts w:hint="eastAsia" w:ascii="宋体" w:hAnsi="宋体"/>
          <w:color w:val="000000"/>
          <w:sz w:val="21"/>
          <w:szCs w:val="21"/>
          <w:highlight w:val="none"/>
        </w:rPr>
        <w:t>. 答疑会</w:t>
      </w:r>
      <w:bookmarkEnd w:id="135"/>
      <w:bookmarkEnd w:id="136"/>
      <w:bookmarkEnd w:id="137"/>
      <w:bookmarkEnd w:id="138"/>
      <w:bookmarkEnd w:id="139"/>
      <w:bookmarkEnd w:id="140"/>
      <w:bookmarkEnd w:id="141"/>
      <w:bookmarkEnd w:id="142"/>
      <w:bookmarkEnd w:id="143"/>
      <w:bookmarkEnd w:id="144"/>
      <w:bookmarkEnd w:id="145"/>
      <w:bookmarkEnd w:id="146"/>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7.1 是否召开见</w:t>
      </w:r>
      <w:r>
        <w:rPr>
          <w:rFonts w:ascii="宋体" w:hAnsi="宋体"/>
          <w:color w:val="000000"/>
          <w:szCs w:val="21"/>
          <w:highlight w:val="none"/>
        </w:rPr>
        <w:t>谈判须知前附表</w:t>
      </w:r>
      <w:r>
        <w:rPr>
          <w:rFonts w:hint="eastAsia" w:ascii="宋体" w:hAnsi="宋体"/>
          <w:color w:val="000000"/>
          <w:szCs w:val="21"/>
          <w:highlight w:val="none"/>
        </w:rPr>
        <w:t>。</w:t>
      </w:r>
    </w:p>
    <w:p>
      <w:pPr>
        <w:pStyle w:val="3"/>
        <w:adjustRightInd w:val="0"/>
        <w:snapToGrid w:val="0"/>
        <w:spacing w:before="0" w:after="0" w:line="360" w:lineRule="auto"/>
        <w:jc w:val="center"/>
        <w:rPr>
          <w:rFonts w:ascii="宋体" w:hAnsi="宋体" w:eastAsia="宋体"/>
          <w:color w:val="000000"/>
          <w:sz w:val="21"/>
          <w:szCs w:val="21"/>
          <w:highlight w:val="none"/>
        </w:rPr>
      </w:pPr>
      <w:bookmarkStart w:id="152" w:name="_Toc325464823"/>
      <w:bookmarkStart w:id="153" w:name="_Toc339565668"/>
      <w:bookmarkStart w:id="154" w:name="_Toc12080"/>
      <w:bookmarkStart w:id="155" w:name="_Toc50654815"/>
      <w:bookmarkStart w:id="156" w:name="_Toc16745"/>
      <w:bookmarkStart w:id="157" w:name="_Toc4670"/>
      <w:bookmarkStart w:id="158" w:name="_Toc22855"/>
      <w:r>
        <w:rPr>
          <w:rFonts w:hint="eastAsia" w:ascii="宋体" w:hAnsi="宋体" w:eastAsia="宋体"/>
          <w:color w:val="000000"/>
          <w:sz w:val="21"/>
          <w:szCs w:val="21"/>
          <w:highlight w:val="none"/>
        </w:rPr>
        <w:t>三、投标人响应文件</w:t>
      </w:r>
      <w:bookmarkEnd w:id="147"/>
      <w:bookmarkEnd w:id="148"/>
      <w:bookmarkEnd w:id="149"/>
      <w:bookmarkEnd w:id="150"/>
      <w:bookmarkEnd w:id="151"/>
      <w:bookmarkEnd w:id="152"/>
      <w:bookmarkEnd w:id="153"/>
      <w:bookmarkEnd w:id="154"/>
      <w:bookmarkEnd w:id="155"/>
      <w:bookmarkEnd w:id="156"/>
      <w:bookmarkEnd w:id="157"/>
      <w:bookmarkEnd w:id="158"/>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59" w:name="_Toc28668"/>
      <w:bookmarkStart w:id="160" w:name="_Toc217446043"/>
      <w:bookmarkStart w:id="161" w:name="_Toc27824"/>
      <w:bookmarkStart w:id="162" w:name="_Toc325096475"/>
      <w:bookmarkStart w:id="163" w:name="_Toc325464824"/>
      <w:bookmarkStart w:id="164" w:name="_Toc317509240"/>
      <w:bookmarkStart w:id="165" w:name="_Toc50654816"/>
      <w:bookmarkStart w:id="166" w:name="_Toc317509393"/>
      <w:bookmarkStart w:id="167" w:name="_Toc339565669"/>
      <w:bookmarkStart w:id="168" w:name="_Toc183582215"/>
      <w:bookmarkStart w:id="169" w:name="_Toc183682352"/>
      <w:bookmarkStart w:id="170" w:name="_Toc27187"/>
      <w:bookmarkStart w:id="171" w:name="_Toc11606"/>
      <w:r>
        <w:rPr>
          <w:rFonts w:hint="eastAsia" w:ascii="宋体" w:hAnsi="宋体"/>
          <w:color w:val="000000"/>
          <w:sz w:val="21"/>
          <w:szCs w:val="21"/>
          <w:highlight w:val="none"/>
        </w:rPr>
        <w:t>8．响应文件的语言</w:t>
      </w:r>
      <w:bookmarkEnd w:id="159"/>
      <w:bookmarkEnd w:id="160"/>
      <w:bookmarkEnd w:id="161"/>
      <w:bookmarkEnd w:id="162"/>
      <w:bookmarkEnd w:id="163"/>
      <w:bookmarkEnd w:id="164"/>
      <w:bookmarkEnd w:id="165"/>
      <w:bookmarkEnd w:id="166"/>
      <w:bookmarkEnd w:id="167"/>
      <w:bookmarkEnd w:id="168"/>
      <w:bookmarkEnd w:id="169"/>
      <w:bookmarkEnd w:id="170"/>
      <w:bookmarkEnd w:id="171"/>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8.1 投标人提交的响应文件以及投标人与采购单位就有关谈判的所有来往书面文件均须使用中文。响应文件中如附有外文资料，必须逐一对应翻译成中文并加盖投标人公章后附在相关外文资料后面。</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72" w:name="_Toc7006"/>
      <w:bookmarkStart w:id="173" w:name="_Toc183582216"/>
      <w:bookmarkStart w:id="174" w:name="_Toc201"/>
      <w:bookmarkStart w:id="175" w:name="_Toc27101"/>
      <w:bookmarkStart w:id="176" w:name="_Toc317509241"/>
      <w:bookmarkStart w:id="177" w:name="_Toc217446044"/>
      <w:bookmarkStart w:id="178" w:name="_Toc50654817"/>
      <w:bookmarkStart w:id="179" w:name="_Toc339565670"/>
      <w:bookmarkStart w:id="180" w:name="_Toc15233"/>
      <w:bookmarkStart w:id="181" w:name="_Toc325096476"/>
      <w:bookmarkStart w:id="182" w:name="_Toc183682353"/>
      <w:bookmarkStart w:id="183" w:name="_Toc317509394"/>
      <w:bookmarkStart w:id="184" w:name="_Toc325464825"/>
      <w:r>
        <w:rPr>
          <w:rFonts w:hint="eastAsia" w:ascii="宋体" w:hAnsi="宋体"/>
          <w:color w:val="000000"/>
          <w:sz w:val="21"/>
          <w:szCs w:val="21"/>
          <w:highlight w:val="none"/>
        </w:rPr>
        <w:t>9．计量单位</w:t>
      </w:r>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9.1除质量标准及要求中另有规定外，本采购项目的谈判均采用国家法定的计量单位。</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85" w:name="_Toc13797"/>
      <w:bookmarkStart w:id="186" w:name="_Toc325096477"/>
      <w:bookmarkStart w:id="187" w:name="_Toc325464826"/>
      <w:bookmarkStart w:id="188" w:name="_Toc50654818"/>
      <w:bookmarkStart w:id="189" w:name="_Toc339565671"/>
      <w:bookmarkStart w:id="190" w:name="_Toc24729"/>
      <w:bookmarkStart w:id="191" w:name="_Toc317509242"/>
      <w:bookmarkStart w:id="192" w:name="_Toc19066"/>
      <w:bookmarkStart w:id="193" w:name="_Toc12762"/>
      <w:bookmarkStart w:id="194" w:name="_Toc317509395"/>
      <w:bookmarkStart w:id="195" w:name="_Toc217446045"/>
      <w:r>
        <w:rPr>
          <w:rFonts w:hint="eastAsia" w:ascii="宋体" w:hAnsi="宋体"/>
          <w:color w:val="000000"/>
          <w:sz w:val="21"/>
          <w:szCs w:val="21"/>
          <w:highlight w:val="none"/>
        </w:rPr>
        <w:t>10. 谈判货币</w:t>
      </w:r>
      <w:bookmarkEnd w:id="185"/>
      <w:bookmarkEnd w:id="186"/>
      <w:bookmarkEnd w:id="187"/>
      <w:bookmarkEnd w:id="188"/>
      <w:bookmarkEnd w:id="189"/>
      <w:bookmarkEnd w:id="190"/>
      <w:bookmarkEnd w:id="191"/>
      <w:bookmarkEnd w:id="192"/>
      <w:bookmarkEnd w:id="193"/>
      <w:bookmarkEnd w:id="194"/>
      <w:bookmarkEnd w:id="195"/>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10.1本次竞争性谈判项目的谈判均以人民币报价。</w:t>
      </w:r>
      <w:bookmarkStart w:id="196" w:name="_Toc217446046"/>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197" w:name="_Toc29241"/>
      <w:bookmarkStart w:id="198" w:name="_Toc317509243"/>
      <w:bookmarkStart w:id="199" w:name="_Toc339565672"/>
      <w:bookmarkStart w:id="200" w:name="_Toc7455"/>
      <w:bookmarkStart w:id="201" w:name="_Toc3771"/>
      <w:bookmarkStart w:id="202" w:name="_Toc317509396"/>
      <w:bookmarkStart w:id="203" w:name="_Toc50654819"/>
      <w:bookmarkStart w:id="204" w:name="_Toc26405"/>
      <w:bookmarkStart w:id="205" w:name="_Toc325096478"/>
      <w:bookmarkStart w:id="206" w:name="_Toc325464827"/>
      <w:r>
        <w:rPr>
          <w:rFonts w:hint="eastAsia" w:ascii="宋体" w:hAnsi="宋体"/>
          <w:color w:val="000000"/>
          <w:sz w:val="21"/>
          <w:szCs w:val="21"/>
          <w:highlight w:val="none"/>
        </w:rPr>
        <w:t>11．联合体谈判</w:t>
      </w:r>
      <w:bookmarkEnd w:id="196"/>
      <w:bookmarkEnd w:id="197"/>
      <w:bookmarkEnd w:id="198"/>
      <w:bookmarkEnd w:id="199"/>
      <w:bookmarkEnd w:id="200"/>
      <w:bookmarkEnd w:id="201"/>
      <w:bookmarkEnd w:id="202"/>
      <w:bookmarkEnd w:id="203"/>
      <w:bookmarkEnd w:id="204"/>
      <w:bookmarkEnd w:id="205"/>
      <w:bookmarkEnd w:id="206"/>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11.1不接受投标人组成联合体参加谈判</w:t>
      </w:r>
      <w:bookmarkStart w:id="207" w:name="_Toc217446047"/>
      <w:r>
        <w:rPr>
          <w:rFonts w:hint="eastAsia" w:ascii="宋体" w:hAnsi="宋体"/>
          <w:color w:val="000000"/>
          <w:szCs w:val="21"/>
          <w:highlight w:val="none"/>
        </w:rPr>
        <w:t>。</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208" w:name="_Toc339565673"/>
      <w:bookmarkStart w:id="209" w:name="_Toc317509397"/>
      <w:bookmarkStart w:id="210" w:name="_Toc325464828"/>
      <w:bookmarkStart w:id="211" w:name="_Toc317509244"/>
      <w:bookmarkStart w:id="212" w:name="_Toc11154"/>
      <w:bookmarkStart w:id="213" w:name="_Toc50654820"/>
      <w:bookmarkStart w:id="214" w:name="_Toc325096479"/>
      <w:bookmarkStart w:id="215" w:name="_Toc2327"/>
      <w:bookmarkStart w:id="216" w:name="_Toc20395"/>
      <w:bookmarkStart w:id="217" w:name="_Toc16593"/>
      <w:r>
        <w:rPr>
          <w:rFonts w:hint="eastAsia" w:ascii="宋体" w:hAnsi="宋体"/>
          <w:color w:val="000000"/>
          <w:sz w:val="21"/>
          <w:szCs w:val="21"/>
          <w:highlight w:val="none"/>
        </w:rPr>
        <w:t>12．知识产权</w:t>
      </w:r>
      <w:bookmarkEnd w:id="207"/>
      <w:bookmarkEnd w:id="208"/>
      <w:bookmarkEnd w:id="209"/>
      <w:bookmarkEnd w:id="210"/>
      <w:bookmarkEnd w:id="211"/>
      <w:bookmarkEnd w:id="212"/>
      <w:bookmarkEnd w:id="213"/>
      <w:bookmarkEnd w:id="214"/>
      <w:bookmarkEnd w:id="215"/>
      <w:bookmarkEnd w:id="216"/>
      <w:bookmarkEnd w:id="217"/>
    </w:p>
    <w:p>
      <w:pPr>
        <w:tabs>
          <w:tab w:val="left" w:pos="7665"/>
        </w:tabs>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218" w:name="_Toc8715"/>
      <w:bookmarkStart w:id="219" w:name="_Toc325096480"/>
      <w:bookmarkStart w:id="220" w:name="_Toc339565674"/>
      <w:bookmarkStart w:id="221" w:name="_Toc183682354"/>
      <w:bookmarkStart w:id="222" w:name="_Toc50654821"/>
      <w:bookmarkStart w:id="223" w:name="_Toc7279"/>
      <w:bookmarkStart w:id="224" w:name="_Toc9014"/>
      <w:bookmarkStart w:id="225" w:name="_Toc325464829"/>
      <w:bookmarkStart w:id="226" w:name="_Toc75"/>
      <w:bookmarkStart w:id="227" w:name="_Toc317509245"/>
      <w:bookmarkStart w:id="228" w:name="_Toc317509398"/>
      <w:bookmarkStart w:id="229" w:name="_Toc217446048"/>
      <w:bookmarkStart w:id="230" w:name="_Toc183582217"/>
      <w:r>
        <w:rPr>
          <w:rFonts w:hint="eastAsia" w:ascii="宋体" w:hAnsi="宋体"/>
          <w:color w:val="000000"/>
          <w:sz w:val="21"/>
          <w:szCs w:val="21"/>
          <w:highlight w:val="none"/>
        </w:rPr>
        <w:t>13．响应文件的组成</w:t>
      </w:r>
      <w:bookmarkEnd w:id="218"/>
      <w:bookmarkEnd w:id="219"/>
      <w:bookmarkEnd w:id="220"/>
      <w:bookmarkEnd w:id="221"/>
      <w:bookmarkEnd w:id="222"/>
      <w:bookmarkEnd w:id="223"/>
      <w:bookmarkEnd w:id="224"/>
      <w:bookmarkEnd w:id="225"/>
      <w:bookmarkEnd w:id="226"/>
      <w:bookmarkEnd w:id="227"/>
      <w:bookmarkEnd w:id="228"/>
      <w:bookmarkEnd w:id="229"/>
      <w:bookmarkEnd w:id="230"/>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 xml:space="preserve"> 投标人应按照谈判文件的规定和要求编制响应文件。投标人编写的响应文件如下：</w:t>
      </w:r>
    </w:p>
    <w:p>
      <w:pPr>
        <w:adjustRightInd w:val="0"/>
        <w:snapToGrid w:val="0"/>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13.1 响应文件</w:t>
      </w:r>
    </w:p>
    <w:p>
      <w:pPr>
        <w:tabs>
          <w:tab w:val="left" w:pos="540"/>
        </w:tabs>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包括以下内容：</w:t>
      </w:r>
    </w:p>
    <w:p>
      <w:pPr>
        <w:tabs>
          <w:tab w:val="left" w:pos="540"/>
        </w:tabs>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(1)谈判函；</w:t>
      </w:r>
    </w:p>
    <w:p>
      <w:pPr>
        <w:tabs>
          <w:tab w:val="left" w:pos="540"/>
        </w:tabs>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(2)授权委托书或法定</w:t>
      </w:r>
      <w:r>
        <w:rPr>
          <w:rFonts w:ascii="宋体" w:hAnsi="宋体"/>
          <w:color w:val="000000"/>
          <w:szCs w:val="21"/>
          <w:highlight w:val="none"/>
        </w:rPr>
        <w:t>代表人</w:t>
      </w:r>
      <w:r>
        <w:rPr>
          <w:rFonts w:hint="eastAsia" w:ascii="宋体" w:hAnsi="宋体"/>
          <w:color w:val="000000"/>
          <w:szCs w:val="21"/>
          <w:highlight w:val="none"/>
        </w:rPr>
        <w:t>身份</w:t>
      </w:r>
      <w:r>
        <w:rPr>
          <w:rFonts w:ascii="宋体" w:hAnsi="宋体"/>
          <w:color w:val="000000"/>
          <w:szCs w:val="21"/>
          <w:highlight w:val="none"/>
        </w:rPr>
        <w:t>证明</w:t>
      </w:r>
      <w:r>
        <w:rPr>
          <w:rFonts w:hint="eastAsia" w:ascii="宋体" w:hAnsi="宋体"/>
          <w:color w:val="000000"/>
          <w:szCs w:val="21"/>
          <w:highlight w:val="none"/>
        </w:rPr>
        <w:t>；</w:t>
      </w:r>
    </w:p>
    <w:p>
      <w:pPr>
        <w:tabs>
          <w:tab w:val="left" w:pos="540"/>
        </w:tabs>
        <w:spacing w:line="360" w:lineRule="auto"/>
        <w:ind w:firstLine="315" w:firstLineChars="150"/>
        <w:rPr>
          <w:rFonts w:ascii="宋体" w:hAnsi="宋体"/>
          <w:color w:val="000000"/>
          <w:szCs w:val="21"/>
          <w:highlight w:val="none"/>
        </w:rPr>
      </w:pPr>
      <w:r>
        <w:rPr>
          <w:rFonts w:hint="eastAsia" w:ascii="宋体" w:hAnsi="宋体"/>
          <w:color w:val="000000"/>
          <w:szCs w:val="21"/>
          <w:highlight w:val="none"/>
        </w:rPr>
        <w:t xml:space="preserve"> (</w:t>
      </w:r>
      <w:r>
        <w:rPr>
          <w:rFonts w:ascii="宋体" w:hAnsi="宋体"/>
          <w:color w:val="000000"/>
          <w:szCs w:val="21"/>
          <w:highlight w:val="none"/>
        </w:rPr>
        <w:t>3</w:t>
      </w:r>
      <w:r>
        <w:rPr>
          <w:rFonts w:hint="eastAsia" w:ascii="宋体" w:hAnsi="宋体"/>
          <w:color w:val="000000"/>
          <w:szCs w:val="21"/>
          <w:highlight w:val="none"/>
        </w:rPr>
        <w:t>)谈判保证金</w:t>
      </w:r>
    </w:p>
    <w:p>
      <w:pPr>
        <w:tabs>
          <w:tab w:val="left" w:pos="540"/>
        </w:tabs>
        <w:spacing w:line="360" w:lineRule="auto"/>
        <w:ind w:firstLine="315" w:firstLineChars="150"/>
        <w:rPr>
          <w:rFonts w:ascii="宋体" w:hAnsi="宋体"/>
          <w:color w:val="000000"/>
          <w:szCs w:val="21"/>
          <w:highlight w:val="none"/>
        </w:rPr>
      </w:pPr>
      <w:r>
        <w:rPr>
          <w:rFonts w:hint="eastAsia" w:ascii="宋体" w:hAnsi="宋体"/>
          <w:color w:val="000000"/>
          <w:szCs w:val="21"/>
          <w:highlight w:val="none"/>
        </w:rPr>
        <w:t>（4）资格审查</w:t>
      </w:r>
      <w:r>
        <w:rPr>
          <w:rFonts w:ascii="宋体" w:hAnsi="宋体"/>
          <w:color w:val="000000"/>
          <w:szCs w:val="21"/>
          <w:highlight w:val="none"/>
        </w:rPr>
        <w:t>资料</w:t>
      </w:r>
      <w:r>
        <w:rPr>
          <w:rFonts w:hint="eastAsia" w:ascii="宋体" w:hAnsi="宋体"/>
          <w:color w:val="000000"/>
          <w:szCs w:val="21"/>
          <w:highlight w:val="none"/>
        </w:rPr>
        <w:t>；</w:t>
      </w:r>
    </w:p>
    <w:p>
      <w:pPr>
        <w:tabs>
          <w:tab w:val="left" w:pos="540"/>
        </w:tabs>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5</w:t>
      </w:r>
      <w:r>
        <w:rPr>
          <w:rFonts w:hint="eastAsia" w:ascii="宋体" w:hAnsi="宋体"/>
          <w:color w:val="000000"/>
          <w:szCs w:val="21"/>
          <w:highlight w:val="none"/>
        </w:rPr>
        <w:t>)已标价的</w:t>
      </w:r>
      <w:r>
        <w:rPr>
          <w:rFonts w:ascii="宋体" w:hAnsi="宋体"/>
          <w:color w:val="000000"/>
          <w:szCs w:val="21"/>
          <w:highlight w:val="none"/>
        </w:rPr>
        <w:t>报价清单</w:t>
      </w:r>
      <w:r>
        <w:rPr>
          <w:rFonts w:hint="eastAsia" w:ascii="宋体" w:hAnsi="宋体"/>
          <w:color w:val="000000"/>
          <w:szCs w:val="21"/>
          <w:highlight w:val="none"/>
        </w:rPr>
        <w:t>；</w:t>
      </w:r>
    </w:p>
    <w:p>
      <w:pPr>
        <w:tabs>
          <w:tab w:val="left" w:pos="540"/>
        </w:tabs>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6</w:t>
      </w:r>
      <w:r>
        <w:rPr>
          <w:rFonts w:hint="eastAsia" w:ascii="宋体" w:hAnsi="宋体"/>
          <w:color w:val="000000"/>
          <w:szCs w:val="21"/>
          <w:highlight w:val="none"/>
        </w:rPr>
        <w:t>)相关运输服务计划。</w:t>
      </w:r>
    </w:p>
    <w:p>
      <w:pPr>
        <w:pStyle w:val="5"/>
        <w:tabs>
          <w:tab w:val="left" w:pos="3240"/>
        </w:tabs>
        <w:adjustRightInd w:val="0"/>
        <w:snapToGrid w:val="0"/>
        <w:spacing w:before="0" w:after="0" w:line="360" w:lineRule="auto"/>
        <w:ind w:firstLine="422" w:firstLineChars="200"/>
        <w:rPr>
          <w:rFonts w:ascii="宋体" w:hAnsi="宋体"/>
          <w:color w:val="000000"/>
          <w:sz w:val="21"/>
          <w:szCs w:val="21"/>
          <w:highlight w:val="none"/>
        </w:rPr>
      </w:pPr>
      <w:bookmarkStart w:id="231" w:name="_Toc50654822"/>
      <w:bookmarkStart w:id="232" w:name="_Toc29306"/>
      <w:bookmarkStart w:id="233" w:name="_Toc23561"/>
      <w:bookmarkStart w:id="234" w:name="_Toc29078"/>
      <w:bookmarkStart w:id="235" w:name="_Toc325464830"/>
      <w:bookmarkStart w:id="236" w:name="_Toc20357"/>
      <w:bookmarkStart w:id="237" w:name="_Toc325096481"/>
      <w:bookmarkStart w:id="238" w:name="_Toc317509399"/>
      <w:bookmarkStart w:id="239" w:name="_Toc217446049"/>
      <w:bookmarkStart w:id="240" w:name="_Toc183582218"/>
      <w:bookmarkStart w:id="241" w:name="_Toc317509246"/>
      <w:bookmarkStart w:id="242" w:name="_Toc339565675"/>
      <w:bookmarkStart w:id="243" w:name="_Toc183682355"/>
      <w:r>
        <w:rPr>
          <w:rFonts w:hint="eastAsia" w:ascii="宋体" w:hAnsi="宋体"/>
          <w:color w:val="000000"/>
          <w:sz w:val="21"/>
          <w:szCs w:val="21"/>
          <w:highlight w:val="none"/>
        </w:rPr>
        <w:t>14．响应文件格式</w:t>
      </w:r>
      <w:bookmarkEnd w:id="231"/>
      <w:bookmarkEnd w:id="232"/>
      <w:bookmarkEnd w:id="233"/>
      <w:bookmarkEnd w:id="234"/>
      <w:bookmarkEnd w:id="235"/>
      <w:bookmarkEnd w:id="236"/>
      <w:bookmarkEnd w:id="237"/>
      <w:bookmarkEnd w:id="238"/>
      <w:bookmarkEnd w:id="239"/>
      <w:bookmarkEnd w:id="240"/>
      <w:bookmarkEnd w:id="241"/>
      <w:bookmarkEnd w:id="242"/>
      <w:bookmarkEnd w:id="243"/>
    </w:p>
    <w:p>
      <w:pPr>
        <w:tabs>
          <w:tab w:val="left" w:pos="540"/>
        </w:tabs>
        <w:adjustRightInd w:val="0"/>
        <w:snapToGrid w:val="0"/>
        <w:spacing w:line="360" w:lineRule="auto"/>
        <w:ind w:firstLine="420" w:firstLineChars="200"/>
        <w:rPr>
          <w:rFonts w:ascii="宋体" w:hAnsi="宋体"/>
          <w:b/>
          <w:color w:val="000000"/>
          <w:szCs w:val="21"/>
          <w:highlight w:val="none"/>
        </w:rPr>
      </w:pPr>
      <w:bookmarkStart w:id="244" w:name="_Toc217446050"/>
      <w:bookmarkStart w:id="245" w:name="_Toc183682360"/>
      <w:bookmarkStart w:id="246" w:name="_Toc183582223"/>
      <w:r>
        <w:rPr>
          <w:rFonts w:hint="eastAsia" w:ascii="宋体" w:hAnsi="宋体"/>
          <w:color w:val="000000"/>
          <w:szCs w:val="21"/>
          <w:highlight w:val="none"/>
        </w:rPr>
        <w:t>14.1投标人应严格按照竞争性谈判文件第四章中提供的“响应文件格式”填写相关内容，并</w:t>
      </w:r>
      <w:r>
        <w:rPr>
          <w:rFonts w:ascii="宋体" w:hAnsi="宋体"/>
          <w:color w:val="000000"/>
          <w:szCs w:val="21"/>
          <w:highlight w:val="none"/>
        </w:rPr>
        <w:t>提供</w:t>
      </w:r>
      <w:r>
        <w:rPr>
          <w:rFonts w:hint="eastAsia" w:ascii="宋体" w:hAnsi="宋体"/>
          <w:color w:val="000000"/>
          <w:szCs w:val="21"/>
          <w:highlight w:val="none"/>
        </w:rPr>
        <w:t>证明材料。</w:t>
      </w:r>
      <w:r>
        <w:rPr>
          <w:rFonts w:hint="eastAsia" w:ascii="宋体" w:hAnsi="宋体"/>
          <w:b/>
          <w:color w:val="000000"/>
          <w:szCs w:val="21"/>
          <w:highlight w:val="none"/>
        </w:rPr>
        <w:t>若《谈判函》、《授权委托书》（含</w:t>
      </w:r>
      <w:r>
        <w:rPr>
          <w:rFonts w:ascii="宋体" w:hAnsi="宋体"/>
          <w:b/>
          <w:color w:val="000000"/>
          <w:szCs w:val="21"/>
          <w:highlight w:val="none"/>
        </w:rPr>
        <w:t>法定代表人身份证明（</w:t>
      </w:r>
      <w:r>
        <w:rPr>
          <w:rFonts w:hint="eastAsia" w:ascii="宋体" w:hAnsi="宋体"/>
          <w:b/>
          <w:color w:val="000000"/>
          <w:szCs w:val="21"/>
          <w:highlight w:val="none"/>
        </w:rPr>
        <w:t>如有</w:t>
      </w:r>
      <w:r>
        <w:rPr>
          <w:rFonts w:ascii="宋体" w:hAnsi="宋体"/>
          <w:b/>
          <w:color w:val="000000"/>
          <w:szCs w:val="21"/>
          <w:highlight w:val="none"/>
        </w:rPr>
        <w:t>）</w:t>
      </w:r>
      <w:r>
        <w:rPr>
          <w:rFonts w:hint="eastAsia" w:ascii="宋体" w:hAnsi="宋体"/>
          <w:b/>
          <w:color w:val="000000"/>
          <w:szCs w:val="21"/>
          <w:highlight w:val="none"/>
        </w:rPr>
        <w:t>）未签字和加盖谈判人公章(鲜章)的，视为无效响应文件。</w:t>
      </w:r>
      <w:r>
        <w:rPr>
          <w:rFonts w:hint="eastAsia" w:ascii="宋体" w:hAnsi="宋体"/>
          <w:color w:val="000000"/>
          <w:szCs w:val="21"/>
          <w:highlight w:val="none"/>
        </w:rPr>
        <w:t>对于没有格式要求的响应文件由</w:t>
      </w:r>
      <w:r>
        <w:rPr>
          <w:rFonts w:hint="eastAsia" w:ascii="宋体" w:hAnsi="宋体" w:cs="宋体"/>
          <w:szCs w:val="21"/>
          <w:highlight w:val="none"/>
        </w:rPr>
        <w:t>投标人</w:t>
      </w:r>
      <w:r>
        <w:rPr>
          <w:rFonts w:hint="eastAsia" w:ascii="宋体" w:hAnsi="宋体"/>
          <w:color w:val="000000"/>
          <w:szCs w:val="21"/>
          <w:highlight w:val="none"/>
        </w:rPr>
        <w:t>自行编写。</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247" w:name="_Toc27413"/>
      <w:bookmarkStart w:id="248" w:name="_Toc325464831"/>
      <w:bookmarkStart w:id="249" w:name="_Toc16701"/>
      <w:bookmarkStart w:id="250" w:name="_Toc325096482"/>
      <w:bookmarkStart w:id="251" w:name="_Toc317509247"/>
      <w:bookmarkStart w:id="252" w:name="_Toc4931"/>
      <w:bookmarkStart w:id="253" w:name="_Toc317509400"/>
      <w:bookmarkStart w:id="254" w:name="_Toc27827"/>
      <w:bookmarkStart w:id="255" w:name="_Toc50654823"/>
      <w:bookmarkStart w:id="256" w:name="_Toc339565676"/>
      <w:r>
        <w:rPr>
          <w:rFonts w:hint="eastAsia" w:ascii="宋体" w:hAnsi="宋体"/>
          <w:color w:val="000000"/>
          <w:sz w:val="21"/>
          <w:szCs w:val="21"/>
          <w:highlight w:val="none"/>
        </w:rPr>
        <w:t>15．谈判保证金</w:t>
      </w:r>
      <w:bookmarkEnd w:id="244"/>
      <w:bookmarkEnd w:id="245"/>
      <w:bookmarkEnd w:id="246"/>
      <w:r>
        <w:rPr>
          <w:rFonts w:hint="eastAsia" w:ascii="宋体" w:hAnsi="宋体"/>
          <w:color w:val="000000"/>
          <w:sz w:val="21"/>
          <w:szCs w:val="21"/>
          <w:highlight w:val="none"/>
        </w:rPr>
        <w:t>和成交服务费</w:t>
      </w:r>
      <w:bookmarkEnd w:id="247"/>
      <w:bookmarkEnd w:id="248"/>
      <w:bookmarkEnd w:id="249"/>
      <w:bookmarkEnd w:id="250"/>
      <w:bookmarkEnd w:id="251"/>
      <w:bookmarkEnd w:id="252"/>
      <w:bookmarkEnd w:id="253"/>
      <w:bookmarkEnd w:id="254"/>
      <w:bookmarkEnd w:id="255"/>
      <w:bookmarkEnd w:id="256"/>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15.1谈判保证金</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谈判保证金要求</w:t>
      </w:r>
      <w:r>
        <w:rPr>
          <w:rFonts w:ascii="宋体" w:hAnsi="宋体"/>
          <w:color w:val="000000"/>
          <w:szCs w:val="21"/>
          <w:highlight w:val="none"/>
        </w:rPr>
        <w:t>见</w:t>
      </w:r>
      <w:r>
        <w:rPr>
          <w:rFonts w:hint="eastAsia" w:ascii="宋体" w:hAnsi="宋体"/>
          <w:color w:val="000000"/>
          <w:szCs w:val="21"/>
          <w:highlight w:val="none"/>
        </w:rPr>
        <w:t>谈判</w:t>
      </w:r>
      <w:r>
        <w:rPr>
          <w:rFonts w:ascii="宋体" w:hAnsi="宋体"/>
          <w:color w:val="000000"/>
          <w:szCs w:val="21"/>
          <w:highlight w:val="none"/>
        </w:rPr>
        <w:t>须知前附表</w:t>
      </w:r>
      <w:r>
        <w:rPr>
          <w:rFonts w:hint="eastAsia" w:ascii="宋体" w:hAnsi="宋体"/>
          <w:color w:val="000000"/>
          <w:szCs w:val="21"/>
          <w:highlight w:val="none"/>
        </w:rPr>
        <w:t>。</w:t>
      </w:r>
    </w:p>
    <w:p>
      <w:pPr>
        <w:adjustRightInd w:val="0"/>
        <w:snapToGrid w:val="0"/>
        <w:spacing w:line="360" w:lineRule="auto"/>
        <w:ind w:firstLine="420" w:firstLineChars="200"/>
        <w:outlineLvl w:val="0"/>
        <w:rPr>
          <w:rFonts w:ascii="宋体" w:hAnsi="宋体"/>
          <w:color w:val="000000"/>
          <w:szCs w:val="21"/>
          <w:highlight w:val="none"/>
        </w:rPr>
      </w:pPr>
      <w:bookmarkStart w:id="257" w:name="_Toc317509248"/>
      <w:bookmarkStart w:id="258" w:name="_Toc8359"/>
      <w:bookmarkStart w:id="259" w:name="_Toc339565677"/>
      <w:bookmarkStart w:id="260" w:name="_Toc325096483"/>
      <w:bookmarkStart w:id="261" w:name="_Toc22329"/>
      <w:bookmarkStart w:id="262" w:name="_Toc325464832"/>
      <w:bookmarkStart w:id="263" w:name="_Toc50654824"/>
      <w:bookmarkStart w:id="264" w:name="_Toc26714"/>
      <w:bookmarkStart w:id="265" w:name="_Toc28507"/>
      <w:bookmarkStart w:id="266" w:name="_Toc317509401"/>
      <w:r>
        <w:rPr>
          <w:rFonts w:hint="eastAsia" w:ascii="宋体" w:hAnsi="宋体"/>
          <w:color w:val="000000"/>
          <w:szCs w:val="21"/>
          <w:highlight w:val="none"/>
        </w:rPr>
        <w:t>15.2成交服务费</w:t>
      </w:r>
      <w:bookmarkEnd w:id="257"/>
      <w:bookmarkEnd w:id="258"/>
      <w:bookmarkEnd w:id="259"/>
      <w:bookmarkEnd w:id="260"/>
      <w:bookmarkEnd w:id="261"/>
      <w:bookmarkEnd w:id="262"/>
      <w:bookmarkEnd w:id="263"/>
      <w:bookmarkEnd w:id="264"/>
      <w:bookmarkEnd w:id="265"/>
      <w:bookmarkEnd w:id="266"/>
    </w:p>
    <w:p>
      <w:pPr>
        <w:adjustRightInd w:val="0"/>
        <w:snapToGrid w:val="0"/>
        <w:spacing w:line="360" w:lineRule="auto"/>
        <w:ind w:firstLine="420" w:firstLineChars="200"/>
        <w:rPr>
          <w:rFonts w:ascii="宋体" w:hAnsi="宋体"/>
          <w:color w:val="000000"/>
          <w:szCs w:val="21"/>
          <w:highlight w:val="none"/>
        </w:rPr>
      </w:pPr>
      <w:bookmarkStart w:id="267" w:name="_Toc317509402"/>
      <w:bookmarkStart w:id="268" w:name="_Toc325096484"/>
      <w:bookmarkStart w:id="269" w:name="_Toc325464833"/>
      <w:bookmarkStart w:id="270" w:name="_Toc8493"/>
      <w:bookmarkStart w:id="271" w:name="_Toc339565678"/>
      <w:bookmarkStart w:id="272" w:name="_Toc3291"/>
      <w:bookmarkStart w:id="273" w:name="_Toc9276"/>
      <w:bookmarkStart w:id="274" w:name="_Toc317509249"/>
      <w:bookmarkStart w:id="275" w:name="_Toc27021"/>
      <w:r>
        <w:rPr>
          <w:rFonts w:hint="eastAsia" w:ascii="宋体" w:hAnsi="宋体"/>
          <w:color w:val="000000"/>
          <w:szCs w:val="21"/>
          <w:highlight w:val="none"/>
        </w:rPr>
        <w:t>(1)成交投标人应在收到成交通知后</w:t>
      </w:r>
      <w:r>
        <w:rPr>
          <w:rFonts w:ascii="宋体" w:hAnsi="宋体"/>
          <w:color w:val="000000"/>
          <w:szCs w:val="21"/>
          <w:highlight w:val="none"/>
        </w:rPr>
        <w:t>5</w:t>
      </w:r>
      <w:r>
        <w:rPr>
          <w:rFonts w:hint="eastAsia" w:ascii="宋体" w:hAnsi="宋体"/>
          <w:color w:val="000000"/>
          <w:szCs w:val="21"/>
          <w:highlight w:val="none"/>
        </w:rPr>
        <w:t>个工作日内向招标咨询机构交纳成交服务费；</w:t>
      </w:r>
      <w:bookmarkEnd w:id="267"/>
      <w:bookmarkEnd w:id="268"/>
      <w:bookmarkEnd w:id="269"/>
      <w:bookmarkEnd w:id="270"/>
      <w:bookmarkEnd w:id="271"/>
      <w:bookmarkEnd w:id="272"/>
      <w:bookmarkEnd w:id="273"/>
      <w:bookmarkEnd w:id="274"/>
      <w:bookmarkEnd w:id="275"/>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(2)不交纳成交服务费（招标咨询服务费）的成交投标人，招标人不与其签订合同，此成交投标人作为自动放弃成交项目，由排位在成交候选人后一位的成交候选人来履行此项目；</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(3)投标人应将成交服务费作为成本综合考虑在单价内，招标人不再单独向成交投标人支付此费用。</w:t>
      </w:r>
    </w:p>
    <w:p>
      <w:pPr>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15.3发生下列情形之一的，招标人将不予退还谈判保证金：</w:t>
      </w:r>
    </w:p>
    <w:p>
      <w:pPr>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（1）在谈判文件规定的递交响应文件截止时间后撤回响应文件的；</w:t>
      </w:r>
    </w:p>
    <w:p>
      <w:pPr>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（2）在招标人确定成交</w:t>
      </w:r>
      <w:r>
        <w:rPr>
          <w:rFonts w:hint="eastAsia" w:ascii="宋体" w:hAnsi="宋体" w:cs="宋体"/>
          <w:szCs w:val="21"/>
          <w:highlight w:val="none"/>
        </w:rPr>
        <w:t>投标人</w:t>
      </w:r>
      <w:r>
        <w:rPr>
          <w:rFonts w:hint="eastAsia" w:ascii="宋体" w:hAnsi="宋体"/>
          <w:color w:val="000000"/>
          <w:szCs w:val="21"/>
          <w:highlight w:val="none"/>
        </w:rPr>
        <w:t>之前放弃成交候选资格的；</w:t>
      </w:r>
    </w:p>
    <w:p>
      <w:pPr>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（3）成交后放弃成交、不领取或者不接收成交通知书的；</w:t>
      </w:r>
    </w:p>
    <w:p>
      <w:pPr>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（4）由于成交</w:t>
      </w:r>
      <w:r>
        <w:rPr>
          <w:rFonts w:hint="eastAsia" w:ascii="宋体" w:hAnsi="宋体" w:cs="宋体"/>
          <w:szCs w:val="21"/>
          <w:highlight w:val="none"/>
        </w:rPr>
        <w:t>投标人</w:t>
      </w:r>
      <w:r>
        <w:rPr>
          <w:rFonts w:hint="eastAsia" w:ascii="宋体" w:hAnsi="宋体"/>
          <w:color w:val="000000"/>
          <w:szCs w:val="21"/>
          <w:highlight w:val="none"/>
        </w:rPr>
        <w:t>的原因未能按照谈判文件的规定与采购人签订合同的；</w:t>
      </w:r>
    </w:p>
    <w:p>
      <w:pPr>
        <w:spacing w:line="360" w:lineRule="auto"/>
        <w:ind w:firstLine="411" w:firstLineChars="196"/>
        <w:rPr>
          <w:rFonts w:ascii="宋体" w:hAnsi="宋体"/>
          <w:color w:val="000000"/>
          <w:szCs w:val="21"/>
          <w:highlight w:val="none"/>
        </w:rPr>
      </w:pPr>
      <w:r>
        <w:rPr>
          <w:rFonts w:hint="eastAsia" w:ascii="宋体" w:hAnsi="宋体"/>
          <w:color w:val="000000"/>
          <w:szCs w:val="21"/>
          <w:highlight w:val="none"/>
        </w:rPr>
        <w:t>（5）</w:t>
      </w:r>
      <w:r>
        <w:rPr>
          <w:rFonts w:hint="eastAsia" w:ascii="宋体" w:hAnsi="宋体" w:cs="宋体"/>
          <w:szCs w:val="21"/>
          <w:highlight w:val="none"/>
        </w:rPr>
        <w:t>投标人</w:t>
      </w:r>
      <w:r>
        <w:rPr>
          <w:rFonts w:hint="eastAsia" w:ascii="宋体" w:hAnsi="宋体"/>
          <w:color w:val="000000"/>
          <w:szCs w:val="21"/>
          <w:highlight w:val="none"/>
        </w:rPr>
        <w:t>在招标采购活动中提供虚假材料，对</w:t>
      </w:r>
      <w:r>
        <w:rPr>
          <w:rFonts w:ascii="宋体" w:hAnsi="宋体"/>
          <w:color w:val="000000"/>
          <w:szCs w:val="21"/>
          <w:highlight w:val="none"/>
        </w:rPr>
        <w:t>谈判结果有实质性影响</w:t>
      </w:r>
      <w:r>
        <w:rPr>
          <w:rFonts w:hint="eastAsia" w:ascii="宋体" w:hAnsi="宋体"/>
          <w:color w:val="000000"/>
          <w:szCs w:val="21"/>
          <w:highlight w:val="none"/>
        </w:rPr>
        <w:t>的。</w:t>
      </w:r>
      <w:bookmarkStart w:id="276" w:name="_Toc1676"/>
      <w:bookmarkStart w:id="277" w:name="_Toc183582224"/>
      <w:bookmarkStart w:id="278" w:name="_Toc325464834"/>
      <w:bookmarkStart w:id="279" w:name="_Toc19759"/>
      <w:bookmarkStart w:id="280" w:name="_Toc183682361"/>
      <w:bookmarkStart w:id="281" w:name="_Toc26073"/>
      <w:bookmarkStart w:id="282" w:name="_Toc217446051"/>
      <w:bookmarkStart w:id="283" w:name="_Toc29975"/>
      <w:bookmarkStart w:id="284" w:name="_Toc317509250"/>
      <w:bookmarkStart w:id="285" w:name="_Toc339565679"/>
      <w:bookmarkStart w:id="286" w:name="_Toc317509403"/>
      <w:bookmarkStart w:id="287" w:name="_Toc325096485"/>
    </w:p>
    <w:p>
      <w:pPr>
        <w:spacing w:line="360" w:lineRule="auto"/>
        <w:ind w:firstLine="413" w:firstLineChars="196"/>
        <w:rPr>
          <w:rFonts w:ascii="宋体" w:hAnsi="宋体"/>
          <w:b/>
          <w:color w:val="000000"/>
          <w:szCs w:val="21"/>
          <w:highlight w:val="none"/>
        </w:rPr>
      </w:pPr>
      <w:r>
        <w:rPr>
          <w:rFonts w:hint="eastAsia" w:ascii="宋体" w:hAnsi="宋体"/>
          <w:b/>
          <w:color w:val="000000"/>
          <w:szCs w:val="21"/>
          <w:highlight w:val="none"/>
        </w:rPr>
        <w:t>16．谈判有效期</w:t>
      </w:r>
      <w:bookmarkEnd w:id="276"/>
      <w:bookmarkEnd w:id="277"/>
      <w:bookmarkEnd w:id="278"/>
      <w:bookmarkEnd w:id="279"/>
      <w:bookmarkEnd w:id="280"/>
      <w:bookmarkEnd w:id="281"/>
      <w:bookmarkEnd w:id="282"/>
      <w:bookmarkEnd w:id="283"/>
      <w:bookmarkEnd w:id="284"/>
      <w:bookmarkEnd w:id="285"/>
      <w:bookmarkEnd w:id="286"/>
      <w:bookmarkEnd w:id="287"/>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16.1 谈判有效期详见谈判须知前附表。谈判有效期短于此规定期限的谈判，将被拒绝。</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16.2 特殊情况下，招标人可于谈判有效期满之前要求投标人同意延长有效期，要求与答复均应为书面形式。投标人可以拒绝上述要求。拒绝延长谈判有效期的投标人不得再参与该项目后续采购活动。</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288" w:name="_Toc325464835"/>
      <w:bookmarkStart w:id="289" w:name="_Toc317509404"/>
      <w:bookmarkStart w:id="290" w:name="_Toc29967"/>
      <w:bookmarkStart w:id="291" w:name="_Toc325096486"/>
      <w:bookmarkStart w:id="292" w:name="_Toc339565680"/>
      <w:bookmarkStart w:id="293" w:name="_Toc317509251"/>
      <w:bookmarkStart w:id="294" w:name="_Toc183682362"/>
      <w:bookmarkStart w:id="295" w:name="_Toc5772"/>
      <w:bookmarkStart w:id="296" w:name="_Toc183582225"/>
      <w:bookmarkStart w:id="297" w:name="_Toc18989"/>
      <w:bookmarkStart w:id="298" w:name="_Toc11184"/>
      <w:bookmarkStart w:id="299" w:name="_Toc50654825"/>
      <w:bookmarkStart w:id="300" w:name="_Toc217446052"/>
      <w:r>
        <w:rPr>
          <w:rFonts w:hint="eastAsia" w:ascii="宋体" w:hAnsi="宋体"/>
          <w:color w:val="000000"/>
          <w:sz w:val="21"/>
          <w:szCs w:val="21"/>
          <w:highlight w:val="none"/>
        </w:rPr>
        <w:t>17．响应文件的印制和签署</w:t>
      </w:r>
      <w:bookmarkEnd w:id="288"/>
      <w:bookmarkEnd w:id="289"/>
      <w:bookmarkEnd w:id="290"/>
      <w:bookmarkEnd w:id="291"/>
      <w:bookmarkEnd w:id="292"/>
      <w:bookmarkEnd w:id="293"/>
      <w:bookmarkEnd w:id="294"/>
      <w:bookmarkEnd w:id="295"/>
      <w:bookmarkEnd w:id="296"/>
      <w:bookmarkEnd w:id="297"/>
      <w:bookmarkEnd w:id="298"/>
      <w:bookmarkEnd w:id="299"/>
      <w:bookmarkEnd w:id="300"/>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17.1响应文件均需打印或用不褪色、不变质的墨水书写。响应文件的打印和书写应清楚工整，任何行间插字、涂改或增删，必须由投标人的法定代表人或其授权代表签字。字迹潦草、表达不清或可能导致非唯一理解的影响到</w:t>
      </w:r>
      <w:r>
        <w:rPr>
          <w:rFonts w:ascii="宋体" w:hAnsi="宋体"/>
          <w:color w:val="000000"/>
          <w:szCs w:val="21"/>
          <w:highlight w:val="none"/>
        </w:rPr>
        <w:t>实质性内容的</w:t>
      </w:r>
      <w:r>
        <w:rPr>
          <w:rFonts w:hint="eastAsia" w:ascii="宋体" w:hAnsi="宋体"/>
          <w:color w:val="000000"/>
          <w:szCs w:val="21"/>
          <w:highlight w:val="none"/>
        </w:rPr>
        <w:t>响应文件应视为无效。</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17.2投标人应按“谈判须知前附表”要求准备响应文件正本、副本。响应文件的正本和副本应在其封面右上角清楚地标明“正本”或“副本”字样。若正本和副本有不一致的内容，以正本书面响应文件为准。</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17.3响应文件正本和副本必须分别装订成册并编制目录、页码，</w:t>
      </w:r>
      <w:r>
        <w:rPr>
          <w:rFonts w:ascii="宋体" w:hAnsi="宋体"/>
          <w:color w:val="000000"/>
          <w:szCs w:val="21"/>
          <w:highlight w:val="none"/>
        </w:rPr>
        <w:t>由于缺失由投标人承担一切后果</w:t>
      </w:r>
      <w:r>
        <w:rPr>
          <w:rFonts w:hint="eastAsia" w:ascii="宋体" w:hAnsi="宋体"/>
          <w:color w:val="000000"/>
          <w:szCs w:val="21"/>
          <w:highlight w:val="none"/>
        </w:rPr>
        <w:t>。此项内容不纳入</w:t>
      </w:r>
      <w:r>
        <w:rPr>
          <w:rFonts w:ascii="宋体" w:hAnsi="宋体"/>
          <w:color w:val="000000"/>
          <w:szCs w:val="21"/>
          <w:highlight w:val="none"/>
        </w:rPr>
        <w:t>谈判小组评审内容。</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17.4响应文件统一用A4幅面纸印制。</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17.5响应文件应根据竞争性谈判文件“第四章</w:t>
      </w:r>
      <w:r>
        <w:rPr>
          <w:rFonts w:ascii="宋体" w:hAnsi="宋体"/>
          <w:color w:val="000000"/>
          <w:szCs w:val="21"/>
          <w:highlight w:val="none"/>
        </w:rPr>
        <w:t>响应文件格式</w:t>
      </w:r>
      <w:r>
        <w:rPr>
          <w:rFonts w:hint="eastAsia" w:ascii="宋体" w:hAnsi="宋体"/>
          <w:color w:val="000000"/>
          <w:szCs w:val="21"/>
          <w:highlight w:val="none"/>
        </w:rPr>
        <w:t>”的要求制作，签署、盖章和内容应完整，同时在谈判公告中规定的时间前将完成后的该</w:t>
      </w:r>
      <w:r>
        <w:rPr>
          <w:rFonts w:ascii="宋体" w:hAnsi="宋体"/>
          <w:color w:val="000000"/>
          <w:szCs w:val="21"/>
          <w:highlight w:val="none"/>
        </w:rPr>
        <w:t>纸质响应文件</w:t>
      </w:r>
      <w:r>
        <w:rPr>
          <w:rFonts w:hint="eastAsia" w:ascii="宋体" w:hAnsi="宋体"/>
          <w:color w:val="000000"/>
          <w:szCs w:val="21"/>
          <w:highlight w:val="none"/>
        </w:rPr>
        <w:t>原样以PDF格式</w:t>
      </w:r>
      <w:r>
        <w:rPr>
          <w:rFonts w:ascii="宋体" w:hAnsi="宋体"/>
          <w:color w:val="000000"/>
          <w:szCs w:val="21"/>
          <w:highlight w:val="none"/>
        </w:rPr>
        <w:t>上传“</w:t>
      </w:r>
      <w:r>
        <w:rPr>
          <w:rFonts w:hint="eastAsia" w:ascii="宋体" w:hAnsi="宋体"/>
          <w:color w:val="000000"/>
          <w:szCs w:val="21"/>
          <w:highlight w:val="none"/>
        </w:rPr>
        <w:t>智采</w:t>
      </w:r>
      <w:r>
        <w:rPr>
          <w:rFonts w:ascii="宋体" w:hAnsi="宋体"/>
          <w:color w:val="000000"/>
          <w:szCs w:val="21"/>
          <w:highlight w:val="none"/>
        </w:rPr>
        <w:t>平台”</w:t>
      </w:r>
      <w:r>
        <w:rPr>
          <w:rFonts w:hint="eastAsia" w:ascii="宋体" w:hAnsi="宋体"/>
          <w:color w:val="000000"/>
          <w:szCs w:val="21"/>
          <w:highlight w:val="none"/>
        </w:rPr>
        <w:t>。</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301" w:name="_Toc77400781"/>
      <w:bookmarkStart w:id="302" w:name="_Toc183582226"/>
      <w:bookmarkStart w:id="303" w:name="_Toc89075877"/>
      <w:bookmarkStart w:id="304" w:name="_Toc183682363"/>
      <w:bookmarkStart w:id="305" w:name="_Toc29085"/>
      <w:bookmarkStart w:id="306" w:name="_Toc26323"/>
      <w:bookmarkStart w:id="307" w:name="_Toc317509405"/>
      <w:bookmarkStart w:id="308" w:name="_Toc339565681"/>
      <w:bookmarkStart w:id="309" w:name="_Toc325096487"/>
      <w:bookmarkStart w:id="310" w:name="_Toc28619"/>
      <w:bookmarkStart w:id="311" w:name="_Toc317509252"/>
      <w:bookmarkStart w:id="312" w:name="_Toc50654826"/>
      <w:bookmarkStart w:id="313" w:name="_Toc325464836"/>
      <w:bookmarkStart w:id="314" w:name="_Toc18631"/>
      <w:bookmarkStart w:id="315" w:name="_Toc217446053"/>
      <w:r>
        <w:rPr>
          <w:rFonts w:hint="eastAsia" w:ascii="宋体" w:hAnsi="宋体"/>
          <w:color w:val="000000"/>
          <w:sz w:val="21"/>
          <w:szCs w:val="21"/>
          <w:highlight w:val="none"/>
        </w:rPr>
        <w:t>18. 响应文件的密封和标</w:t>
      </w:r>
      <w:bookmarkEnd w:id="301"/>
      <w:bookmarkEnd w:id="302"/>
      <w:bookmarkEnd w:id="303"/>
      <w:bookmarkEnd w:id="304"/>
      <w:r>
        <w:rPr>
          <w:rFonts w:hint="eastAsia" w:ascii="宋体" w:hAnsi="宋体"/>
          <w:color w:val="000000"/>
          <w:sz w:val="21"/>
          <w:szCs w:val="21"/>
          <w:highlight w:val="none"/>
        </w:rPr>
        <w:t>注</w:t>
      </w:r>
      <w:bookmarkEnd w:id="305"/>
      <w:bookmarkEnd w:id="306"/>
      <w:bookmarkEnd w:id="307"/>
      <w:bookmarkEnd w:id="308"/>
      <w:bookmarkEnd w:id="309"/>
      <w:bookmarkEnd w:id="310"/>
      <w:bookmarkEnd w:id="311"/>
      <w:bookmarkEnd w:id="312"/>
      <w:bookmarkEnd w:id="313"/>
      <w:bookmarkEnd w:id="314"/>
      <w:bookmarkEnd w:id="315"/>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18.1响应文件的密封</w:t>
      </w:r>
    </w:p>
    <w:p>
      <w:pPr>
        <w:adjustRightInd w:val="0"/>
        <w:snapToGrid w:val="0"/>
        <w:spacing w:line="360" w:lineRule="auto"/>
        <w:ind w:firstLine="420" w:firstLineChars="200"/>
        <w:rPr>
          <w:rFonts w:ascii="宋体" w:hAnsi="宋体"/>
          <w:b/>
          <w:color w:val="000000"/>
          <w:szCs w:val="21"/>
          <w:highlight w:val="none"/>
        </w:rPr>
      </w:pPr>
      <w:r>
        <w:rPr>
          <w:rFonts w:hint="eastAsia" w:ascii="宋体" w:hAnsi="宋体"/>
          <w:color w:val="000000"/>
          <w:szCs w:val="21"/>
          <w:highlight w:val="none"/>
        </w:rPr>
        <w:t>响应文件正本、副本</w:t>
      </w:r>
      <w:r>
        <w:rPr>
          <w:rFonts w:hint="eastAsia" w:ascii="宋体" w:hAnsi="宋体"/>
          <w:b/>
          <w:color w:val="000000"/>
          <w:szCs w:val="21"/>
          <w:highlight w:val="none"/>
        </w:rPr>
        <w:t>应封装于一个密封袋内，并注明投标人名称、项目名称、</w:t>
      </w:r>
      <w:r>
        <w:rPr>
          <w:rFonts w:ascii="宋体" w:hAnsi="宋体"/>
          <w:b/>
          <w:color w:val="000000"/>
          <w:szCs w:val="21"/>
          <w:highlight w:val="none"/>
        </w:rPr>
        <w:t>标段号</w:t>
      </w:r>
      <w:r>
        <w:rPr>
          <w:rFonts w:hint="eastAsia" w:ascii="宋体" w:hAnsi="宋体"/>
          <w:b/>
          <w:color w:val="000000"/>
          <w:szCs w:val="21"/>
          <w:highlight w:val="none"/>
        </w:rPr>
        <w:t>。</w:t>
      </w:r>
    </w:p>
    <w:p>
      <w:pPr>
        <w:pStyle w:val="5"/>
        <w:adjustRightInd w:val="0"/>
        <w:snapToGrid w:val="0"/>
        <w:spacing w:before="0" w:after="0" w:line="360" w:lineRule="auto"/>
        <w:ind w:firstLine="413" w:firstLineChars="196"/>
        <w:rPr>
          <w:rFonts w:ascii="宋体" w:hAnsi="宋体"/>
          <w:color w:val="000000"/>
          <w:sz w:val="21"/>
          <w:szCs w:val="21"/>
          <w:highlight w:val="none"/>
        </w:rPr>
      </w:pPr>
      <w:bookmarkStart w:id="316" w:name="_Toc1490"/>
      <w:bookmarkStart w:id="317" w:name="_Toc18793"/>
      <w:bookmarkStart w:id="318" w:name="_Toc325096488"/>
      <w:bookmarkStart w:id="319" w:name="_Toc31653"/>
      <w:bookmarkStart w:id="320" w:name="_Toc317509253"/>
      <w:bookmarkStart w:id="321" w:name="_Toc50654827"/>
      <w:bookmarkStart w:id="322" w:name="_Toc325464837"/>
      <w:bookmarkStart w:id="323" w:name="_Toc25006"/>
      <w:bookmarkStart w:id="324" w:name="_Toc339565682"/>
      <w:bookmarkStart w:id="325" w:name="_Toc317509406"/>
      <w:r>
        <w:rPr>
          <w:rFonts w:hint="eastAsia" w:ascii="宋体" w:hAnsi="宋体"/>
          <w:bCs/>
          <w:color w:val="000000"/>
          <w:sz w:val="21"/>
          <w:szCs w:val="21"/>
          <w:highlight w:val="none"/>
        </w:rPr>
        <w:t xml:space="preserve">19. </w:t>
      </w:r>
      <w:r>
        <w:rPr>
          <w:rFonts w:hint="eastAsia" w:ascii="宋体" w:hAnsi="宋体"/>
          <w:color w:val="000000"/>
          <w:sz w:val="21"/>
          <w:szCs w:val="21"/>
          <w:highlight w:val="none"/>
        </w:rPr>
        <w:t>响应文件的递交</w:t>
      </w:r>
      <w:bookmarkEnd w:id="316"/>
      <w:bookmarkEnd w:id="317"/>
      <w:bookmarkEnd w:id="318"/>
      <w:bookmarkEnd w:id="319"/>
      <w:bookmarkEnd w:id="320"/>
      <w:bookmarkEnd w:id="321"/>
      <w:bookmarkEnd w:id="322"/>
      <w:bookmarkEnd w:id="323"/>
      <w:bookmarkEnd w:id="324"/>
      <w:bookmarkEnd w:id="325"/>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19.1 投标人应在竞争性谈判文件规定的时间和地点递交响应文件；具体要求见谈判公告。</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19.2本次竞争性谈判不接受邮寄的响应文件。</w:t>
      </w:r>
    </w:p>
    <w:p>
      <w:pPr>
        <w:adjustRightInd w:val="0"/>
        <w:snapToGrid w:val="0"/>
        <w:spacing w:line="360" w:lineRule="auto"/>
        <w:ind w:firstLine="422" w:firstLineChars="200"/>
        <w:rPr>
          <w:rFonts w:ascii="宋体" w:hAnsi="宋体"/>
          <w:b/>
          <w:color w:val="000000"/>
          <w:szCs w:val="21"/>
          <w:highlight w:val="none"/>
        </w:rPr>
      </w:pPr>
      <w:r>
        <w:rPr>
          <w:rFonts w:hint="eastAsia" w:ascii="宋体" w:hAnsi="宋体"/>
          <w:b/>
          <w:color w:val="000000"/>
          <w:szCs w:val="21"/>
          <w:highlight w:val="none"/>
        </w:rPr>
        <w:t>2</w:t>
      </w:r>
      <w:r>
        <w:rPr>
          <w:rFonts w:ascii="宋体" w:hAnsi="宋体"/>
          <w:b/>
          <w:color w:val="000000"/>
          <w:szCs w:val="21"/>
          <w:highlight w:val="none"/>
        </w:rPr>
        <w:t>0.</w:t>
      </w:r>
      <w:r>
        <w:rPr>
          <w:rFonts w:hint="eastAsia" w:ascii="宋体" w:hAnsi="宋体"/>
          <w:b/>
          <w:color w:val="000000"/>
          <w:szCs w:val="21"/>
          <w:highlight w:val="none"/>
        </w:rPr>
        <w:t xml:space="preserve"> 响应文件的修改和撤回</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0.1</w:t>
      </w:r>
      <w:r>
        <w:rPr>
          <w:rFonts w:hint="eastAsia" w:ascii="宋体" w:hAnsi="宋体"/>
          <w:color w:val="000000"/>
          <w:szCs w:val="21"/>
          <w:highlight w:val="none"/>
        </w:rPr>
        <w:t>投标人在提交响应文件后可对其响应文件进行修改或撤回，但该修改或撤回的书面通知须在递交截止时间之前送达采购单位，补充、修改的内容作为响应文件的组成部分。且该通知需经正式授权的</w:t>
      </w:r>
      <w:r>
        <w:rPr>
          <w:rFonts w:hint="eastAsia" w:ascii="宋体" w:hAnsi="宋体" w:cs="宋体"/>
          <w:szCs w:val="21"/>
          <w:highlight w:val="none"/>
        </w:rPr>
        <w:t>投标人</w:t>
      </w:r>
      <w:r>
        <w:rPr>
          <w:rFonts w:hint="eastAsia" w:ascii="宋体" w:hAnsi="宋体"/>
          <w:color w:val="000000"/>
          <w:szCs w:val="21"/>
          <w:highlight w:val="none"/>
        </w:rPr>
        <w:t>代表签字方为有效。 投标人补充、修改的内容与响应文件不一致的，以补充、修改的内容为准。</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0.</w:t>
      </w:r>
      <w:r>
        <w:rPr>
          <w:rFonts w:hint="eastAsia" w:ascii="宋体" w:hAnsi="宋体"/>
          <w:color w:val="000000"/>
          <w:szCs w:val="21"/>
          <w:highlight w:val="none"/>
        </w:rPr>
        <w:t xml:space="preserve">2 </w:t>
      </w:r>
      <w:r>
        <w:rPr>
          <w:rFonts w:hint="eastAsia" w:ascii="宋体" w:hAnsi="宋体" w:cs="宋体"/>
          <w:szCs w:val="21"/>
          <w:highlight w:val="none"/>
        </w:rPr>
        <w:t>投标人</w:t>
      </w:r>
      <w:r>
        <w:rPr>
          <w:rFonts w:hint="eastAsia" w:ascii="宋体" w:hAnsi="宋体"/>
          <w:color w:val="000000"/>
          <w:szCs w:val="21"/>
          <w:highlight w:val="none"/>
        </w:rPr>
        <w:t>不得在递交截止时间起至响应文件有效期期满前撤回其响应文件。否则其谈判保证金将不予退还。</w:t>
      </w:r>
    </w:p>
    <w:p>
      <w:pPr>
        <w:pStyle w:val="3"/>
        <w:spacing w:line="400" w:lineRule="exact"/>
        <w:jc w:val="center"/>
        <w:rPr>
          <w:rFonts w:ascii="宋体" w:hAnsi="宋体" w:eastAsia="宋体"/>
          <w:color w:val="000000"/>
          <w:sz w:val="21"/>
          <w:szCs w:val="21"/>
          <w:highlight w:val="none"/>
        </w:rPr>
      </w:pPr>
      <w:bookmarkStart w:id="326" w:name="_Toc183682368"/>
      <w:bookmarkStart w:id="327" w:name="_Toc183582231"/>
      <w:bookmarkStart w:id="328" w:name="_Toc89075878"/>
      <w:bookmarkStart w:id="329" w:name="_Toc217446056"/>
      <w:bookmarkStart w:id="330" w:name="_Toc77400782"/>
      <w:bookmarkStart w:id="331" w:name="_Toc16180"/>
      <w:bookmarkStart w:id="332" w:name="_Toc325464838"/>
      <w:bookmarkStart w:id="333" w:name="_Toc5163"/>
      <w:bookmarkStart w:id="334" w:name="_Toc9259"/>
      <w:bookmarkStart w:id="335" w:name="_Toc339565683"/>
      <w:bookmarkStart w:id="336" w:name="_Toc50654828"/>
      <w:bookmarkStart w:id="337" w:name="_Toc24023"/>
      <w:bookmarkStart w:id="338" w:name="_Toc217446059"/>
      <w:r>
        <w:rPr>
          <w:rFonts w:hint="eastAsia" w:ascii="宋体" w:hAnsi="宋体" w:eastAsia="宋体"/>
          <w:color w:val="000000"/>
          <w:sz w:val="21"/>
          <w:szCs w:val="21"/>
          <w:highlight w:val="none"/>
        </w:rPr>
        <w:t>四、</w:t>
      </w:r>
      <w:bookmarkEnd w:id="326"/>
      <w:bookmarkEnd w:id="327"/>
      <w:bookmarkEnd w:id="328"/>
      <w:bookmarkEnd w:id="329"/>
      <w:bookmarkEnd w:id="330"/>
      <w:r>
        <w:rPr>
          <w:rFonts w:hint="eastAsia" w:ascii="宋体" w:hAnsi="宋体" w:eastAsia="宋体"/>
          <w:color w:val="000000"/>
          <w:sz w:val="21"/>
          <w:szCs w:val="21"/>
          <w:highlight w:val="none"/>
        </w:rPr>
        <w:t>谈判评审办法</w:t>
      </w:r>
      <w:bookmarkEnd w:id="331"/>
      <w:bookmarkEnd w:id="332"/>
      <w:bookmarkEnd w:id="333"/>
      <w:bookmarkEnd w:id="334"/>
      <w:bookmarkEnd w:id="335"/>
      <w:bookmarkEnd w:id="336"/>
      <w:bookmarkEnd w:id="337"/>
    </w:p>
    <w:p>
      <w:pPr>
        <w:adjustRightInd w:val="0"/>
        <w:snapToGrid w:val="0"/>
        <w:spacing w:line="360" w:lineRule="auto"/>
        <w:ind w:firstLine="422" w:firstLineChars="200"/>
        <w:rPr>
          <w:rFonts w:ascii="宋体" w:hAnsi="宋体"/>
          <w:color w:val="000000"/>
          <w:szCs w:val="21"/>
          <w:highlight w:val="none"/>
        </w:rPr>
      </w:pPr>
      <w:r>
        <w:rPr>
          <w:rFonts w:hint="eastAsia" w:ascii="宋体" w:hAnsi="宋体"/>
          <w:b/>
          <w:color w:val="000000"/>
          <w:szCs w:val="21"/>
          <w:highlight w:val="none"/>
        </w:rPr>
        <w:t>21</w:t>
      </w:r>
      <w:r>
        <w:rPr>
          <w:rFonts w:ascii="宋体" w:hAnsi="宋体"/>
          <w:b/>
          <w:color w:val="000000"/>
          <w:szCs w:val="21"/>
          <w:highlight w:val="none"/>
        </w:rPr>
        <w:t>.</w:t>
      </w:r>
      <w:r>
        <w:rPr>
          <w:rFonts w:hint="eastAsia" w:ascii="宋体" w:hAnsi="宋体"/>
          <w:color w:val="000000"/>
          <w:szCs w:val="21"/>
          <w:highlight w:val="none"/>
        </w:rPr>
        <w:t>谈判小组的组建及其评审工作按照本谈判文件第六章的规定进行。投标人进行第二轮或两轮以上（如有）谈判的谈判报价函格式及要求见本须知附件1。</w:t>
      </w:r>
    </w:p>
    <w:bookmarkEnd w:id="338"/>
    <w:p>
      <w:pPr>
        <w:pStyle w:val="3"/>
        <w:keepNext w:val="0"/>
        <w:keepLines w:val="0"/>
        <w:spacing w:line="360" w:lineRule="exact"/>
        <w:jc w:val="center"/>
        <w:rPr>
          <w:rFonts w:ascii="宋体" w:hAnsi="宋体" w:eastAsia="宋体"/>
          <w:color w:val="000000"/>
          <w:sz w:val="21"/>
          <w:szCs w:val="21"/>
          <w:highlight w:val="none"/>
        </w:rPr>
      </w:pPr>
      <w:bookmarkStart w:id="339" w:name="_Toc24156"/>
      <w:bookmarkStart w:id="340" w:name="_Toc339565686"/>
      <w:bookmarkStart w:id="341" w:name="_Toc8905"/>
      <w:bookmarkStart w:id="342" w:name="_Toc3572"/>
      <w:bookmarkStart w:id="343" w:name="_Toc5369"/>
      <w:bookmarkStart w:id="344" w:name="_Toc50654829"/>
      <w:r>
        <w:rPr>
          <w:rFonts w:hint="eastAsia" w:ascii="宋体" w:hAnsi="宋体" w:eastAsia="宋体"/>
          <w:color w:val="000000"/>
          <w:sz w:val="21"/>
          <w:szCs w:val="21"/>
          <w:highlight w:val="none"/>
        </w:rPr>
        <w:t>五、</w:t>
      </w:r>
      <w:bookmarkEnd w:id="339"/>
      <w:bookmarkEnd w:id="340"/>
      <w:bookmarkEnd w:id="341"/>
      <w:bookmarkEnd w:id="342"/>
      <w:bookmarkEnd w:id="343"/>
      <w:bookmarkStart w:id="345" w:name="_Toc217446061"/>
      <w:r>
        <w:rPr>
          <w:rFonts w:hint="eastAsia" w:ascii="宋体" w:hAnsi="宋体" w:eastAsia="宋体"/>
          <w:color w:val="000000"/>
          <w:sz w:val="21"/>
          <w:szCs w:val="21"/>
          <w:highlight w:val="none"/>
        </w:rPr>
        <w:t>确定成交投标人</w:t>
      </w:r>
      <w:bookmarkEnd w:id="344"/>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346" w:name="_Toc3361"/>
      <w:bookmarkStart w:id="347" w:name="_Toc19280"/>
      <w:bookmarkStart w:id="348" w:name="_Toc29874"/>
      <w:bookmarkStart w:id="349" w:name="_Toc325096492"/>
      <w:bookmarkStart w:id="350" w:name="_Toc317509257"/>
      <w:bookmarkStart w:id="351" w:name="_Toc339565687"/>
      <w:bookmarkStart w:id="352" w:name="_Toc17662"/>
      <w:bookmarkStart w:id="353" w:name="_Toc325464841"/>
      <w:bookmarkStart w:id="354" w:name="_Toc317509410"/>
      <w:bookmarkStart w:id="355" w:name="_Toc50654830"/>
      <w:r>
        <w:rPr>
          <w:rFonts w:hint="eastAsia" w:ascii="宋体" w:hAnsi="宋体"/>
          <w:color w:val="000000"/>
          <w:sz w:val="21"/>
          <w:szCs w:val="21"/>
          <w:highlight w:val="none"/>
        </w:rPr>
        <w:t>2</w:t>
      </w:r>
      <w:r>
        <w:rPr>
          <w:rFonts w:ascii="宋体" w:hAnsi="宋体"/>
          <w:color w:val="000000"/>
          <w:sz w:val="21"/>
          <w:szCs w:val="21"/>
          <w:highlight w:val="none"/>
        </w:rPr>
        <w:t>2</w:t>
      </w:r>
      <w:r>
        <w:rPr>
          <w:rFonts w:hint="eastAsia" w:ascii="宋体" w:hAnsi="宋体"/>
          <w:color w:val="000000"/>
          <w:sz w:val="21"/>
          <w:szCs w:val="21"/>
          <w:highlight w:val="none"/>
        </w:rPr>
        <w:t xml:space="preserve">. </w:t>
      </w:r>
      <w:bookmarkEnd w:id="345"/>
      <w:bookmarkEnd w:id="346"/>
      <w:bookmarkEnd w:id="347"/>
      <w:bookmarkEnd w:id="348"/>
      <w:bookmarkEnd w:id="349"/>
      <w:bookmarkEnd w:id="350"/>
      <w:bookmarkEnd w:id="351"/>
      <w:bookmarkEnd w:id="352"/>
      <w:bookmarkEnd w:id="353"/>
      <w:bookmarkEnd w:id="354"/>
      <w:r>
        <w:rPr>
          <w:rFonts w:hint="eastAsia" w:ascii="宋体" w:hAnsi="宋体"/>
          <w:color w:val="000000"/>
          <w:sz w:val="21"/>
          <w:szCs w:val="21"/>
          <w:highlight w:val="none"/>
        </w:rPr>
        <w:t>确定原则</w:t>
      </w:r>
      <w:bookmarkEnd w:id="355"/>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招标人确定成交投标人过程中，发现成交候选投标人有下列情形之一的，应当不予确定其为成交投标人：</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（1）成交候选投标人存在违法、违纪行为的；</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（2）成交候选投标人因不可抗力、社会经济形势发生重大变化、破产、重组等原因确定无法履行本采购合同的；</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（3）成交候选投标人书面自愿放弃成交，且无其他非法目的的；</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（4）其他不应确定成交投标人的情形。</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成交候选投标人有本条款情形之一的，招标人可以接受排在</w:t>
      </w:r>
      <w:r>
        <w:rPr>
          <w:rFonts w:ascii="宋体" w:hAnsi="宋体"/>
          <w:color w:val="000000"/>
          <w:szCs w:val="21"/>
          <w:highlight w:val="none"/>
        </w:rPr>
        <w:t>第二</w:t>
      </w:r>
      <w:r>
        <w:rPr>
          <w:rFonts w:hint="eastAsia" w:ascii="宋体" w:hAnsi="宋体"/>
          <w:color w:val="000000"/>
          <w:szCs w:val="21"/>
          <w:highlight w:val="none"/>
        </w:rPr>
        <w:t>位的</w:t>
      </w:r>
      <w:r>
        <w:rPr>
          <w:rFonts w:ascii="宋体" w:hAnsi="宋体"/>
          <w:color w:val="000000"/>
          <w:szCs w:val="21"/>
          <w:highlight w:val="none"/>
        </w:rPr>
        <w:t>候选人，</w:t>
      </w:r>
      <w:r>
        <w:rPr>
          <w:rFonts w:hint="eastAsia" w:ascii="宋体" w:hAnsi="宋体"/>
          <w:color w:val="000000"/>
          <w:szCs w:val="21"/>
          <w:highlight w:val="none"/>
        </w:rPr>
        <w:t xml:space="preserve">也可以不确定成交投标人，并重新组织招标。 </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356" w:name="_Toc325096493"/>
      <w:bookmarkStart w:id="357" w:name="_Toc16076"/>
      <w:bookmarkStart w:id="358" w:name="_Toc339565688"/>
      <w:bookmarkStart w:id="359" w:name="_Toc217446062"/>
      <w:bookmarkStart w:id="360" w:name="_Toc325464842"/>
      <w:bookmarkStart w:id="361" w:name="_Toc22308"/>
      <w:bookmarkStart w:id="362" w:name="_Toc317509411"/>
      <w:bookmarkStart w:id="363" w:name="_Toc317509258"/>
      <w:bookmarkStart w:id="364" w:name="_Toc402"/>
      <w:bookmarkStart w:id="365" w:name="_Toc23262"/>
      <w:bookmarkStart w:id="366" w:name="_Toc50654831"/>
      <w:r>
        <w:rPr>
          <w:rFonts w:hint="eastAsia" w:ascii="宋体" w:hAnsi="宋体"/>
          <w:color w:val="000000"/>
          <w:sz w:val="21"/>
          <w:szCs w:val="21"/>
          <w:highlight w:val="none"/>
        </w:rPr>
        <w:t>2</w:t>
      </w:r>
      <w:r>
        <w:rPr>
          <w:rFonts w:ascii="宋体" w:hAnsi="宋体"/>
          <w:color w:val="000000"/>
          <w:sz w:val="21"/>
          <w:szCs w:val="21"/>
          <w:highlight w:val="none"/>
        </w:rPr>
        <w:t>3</w:t>
      </w:r>
      <w:r>
        <w:rPr>
          <w:rFonts w:hint="eastAsia" w:ascii="宋体" w:hAnsi="宋体"/>
          <w:color w:val="000000"/>
          <w:sz w:val="21"/>
          <w:szCs w:val="21"/>
          <w:highlight w:val="none"/>
        </w:rPr>
        <w:t xml:space="preserve">. </w:t>
      </w:r>
      <w:bookmarkEnd w:id="356"/>
      <w:bookmarkEnd w:id="357"/>
      <w:bookmarkEnd w:id="358"/>
      <w:bookmarkEnd w:id="359"/>
      <w:bookmarkEnd w:id="360"/>
      <w:bookmarkEnd w:id="361"/>
      <w:bookmarkEnd w:id="362"/>
      <w:bookmarkEnd w:id="363"/>
      <w:bookmarkEnd w:id="364"/>
      <w:bookmarkEnd w:id="365"/>
      <w:r>
        <w:rPr>
          <w:rFonts w:hint="eastAsia" w:ascii="宋体" w:hAnsi="宋体"/>
          <w:color w:val="000000"/>
          <w:sz w:val="21"/>
          <w:szCs w:val="21"/>
          <w:highlight w:val="none"/>
        </w:rPr>
        <w:t>确定程序</w:t>
      </w:r>
      <w:bookmarkEnd w:id="366"/>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3</w:t>
      </w:r>
      <w:r>
        <w:rPr>
          <w:rFonts w:hint="eastAsia" w:ascii="宋体" w:hAnsi="宋体"/>
          <w:color w:val="000000"/>
          <w:szCs w:val="21"/>
          <w:highlight w:val="none"/>
        </w:rPr>
        <w:t>.1确定成交投标人</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（1）采购人应当在谈判结果公示结束后，无异议投诉的，从谈判小组提出的成交候选投标人中根据符合采购需求、服务要求且报价最低的原则确定成交投标人。</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（2）只有在谈判双方接受对方的条件并能达成一致的前提下方可成交。</w:t>
      </w:r>
    </w:p>
    <w:p>
      <w:pPr>
        <w:adjustRightInd w:val="0"/>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szCs w:val="21"/>
          <w:highlight w:val="none"/>
        </w:rPr>
        <w:t>（3）成交人因不可抗力原因不能履行合同或放弃成交的，招标人可以与排在成交人之后第一位的成交候选人签订合同，以此类推。</w:t>
      </w:r>
      <w:r>
        <w:rPr>
          <w:rFonts w:hint="eastAsia" w:hAnsi="宋体"/>
          <w:color w:val="000000" w:themeColor="text1"/>
          <w:highlight w:val="none"/>
          <w14:textFill>
            <w14:solidFill>
              <w14:schemeClr w14:val="tx1"/>
            </w14:solidFill>
          </w14:textFill>
        </w:rPr>
        <w:t>或者招标人</w:t>
      </w:r>
      <w:r>
        <w:rPr>
          <w:rFonts w:hAnsi="宋体"/>
          <w:color w:val="000000" w:themeColor="text1"/>
          <w:highlight w:val="none"/>
          <w14:textFill>
            <w14:solidFill>
              <w14:schemeClr w14:val="tx1"/>
            </w14:solidFill>
          </w14:textFill>
        </w:rPr>
        <w:t>也</w:t>
      </w:r>
      <w:r>
        <w:rPr>
          <w:rFonts w:hint="eastAsia" w:ascii="宋体" w:hAnsi="宋体" w:cs="宋体"/>
          <w:color w:val="000000" w:themeColor="text1"/>
          <w:szCs w:val="21"/>
          <w:highlight w:val="none"/>
          <w14:textFill>
            <w14:solidFill>
              <w14:schemeClr w14:val="tx1"/>
            </w14:solidFill>
          </w14:textFill>
        </w:rPr>
        <w:t>可以重新招标</w:t>
      </w:r>
      <w:r>
        <w:rPr>
          <w:rFonts w:hint="eastAsia" w:hAnsi="宋体"/>
          <w:color w:val="000000" w:themeColor="text1"/>
          <w:highlight w:val="none"/>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 xml:space="preserve"> 根据招标人确定的成交投标人，向成交投标人发出成交通知书。</w:t>
      </w:r>
    </w:p>
    <w:p>
      <w:pPr>
        <w:adjustRightInd w:val="0"/>
        <w:snapToGrid w:val="0"/>
        <w:spacing w:line="360" w:lineRule="auto"/>
        <w:ind w:firstLine="420" w:firstLineChars="200"/>
        <w:rPr>
          <w:rFonts w:ascii="宋体" w:hAnsi="宋体" w:cs="宋体"/>
          <w:color w:val="000000" w:themeColor="text1"/>
          <w:kern w:val="0"/>
          <w:szCs w:val="21"/>
          <w:highlight w:val="none"/>
          <w:lang w:val="zh-CN" w:bidi="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w:t>
      </w:r>
      <w:r>
        <w:rPr>
          <w:rFonts w:ascii="宋体" w:hAnsi="宋体"/>
          <w:color w:val="000000" w:themeColor="text1"/>
          <w:szCs w:val="21"/>
          <w:highlight w:val="none"/>
          <w14:textFill>
            <w14:solidFill>
              <w14:schemeClr w14:val="tx1"/>
            </w14:solidFill>
          </w14:textFill>
        </w:rPr>
        <w:t xml:space="preserve">3 </w:t>
      </w:r>
      <w:r>
        <w:rPr>
          <w:rFonts w:hint="eastAsia" w:ascii="宋体" w:hAnsi="宋体" w:cs="宋体"/>
          <w:color w:val="000000" w:themeColor="text1"/>
          <w:kern w:val="0"/>
          <w:szCs w:val="21"/>
          <w:highlight w:val="none"/>
          <w:lang w:val="zh-CN" w:bidi="zh-CN"/>
          <w14:textFill>
            <w14:solidFill>
              <w14:schemeClr w14:val="tx1"/>
            </w14:solidFill>
          </w14:textFill>
        </w:rPr>
        <w:t>按照谈判小组</w:t>
      </w:r>
      <w:r>
        <w:rPr>
          <w:rFonts w:ascii="宋体" w:hAnsi="宋体" w:cs="宋体"/>
          <w:color w:val="000000" w:themeColor="text1"/>
          <w:kern w:val="0"/>
          <w:szCs w:val="21"/>
          <w:highlight w:val="none"/>
          <w:lang w:val="zh-CN" w:bidi="zh-CN"/>
          <w14:textFill>
            <w14:solidFill>
              <w14:schemeClr w14:val="tx1"/>
            </w14:solidFill>
          </w14:textFill>
        </w:rPr>
        <w:t>推荐的</w:t>
      </w:r>
      <w:r>
        <w:rPr>
          <w:rFonts w:hint="eastAsia" w:ascii="宋体" w:hAnsi="宋体" w:cs="宋体"/>
          <w:color w:val="000000" w:themeColor="text1"/>
          <w:kern w:val="0"/>
          <w:szCs w:val="21"/>
          <w:highlight w:val="none"/>
          <w:lang w:val="zh-CN" w:bidi="zh-CN"/>
          <w14:textFill>
            <w14:solidFill>
              <w14:schemeClr w14:val="tx1"/>
            </w14:solidFill>
          </w14:textFill>
        </w:rPr>
        <w:t>成交</w:t>
      </w:r>
      <w:r>
        <w:rPr>
          <w:rFonts w:ascii="宋体" w:hAnsi="宋体" w:cs="宋体"/>
          <w:color w:val="000000" w:themeColor="text1"/>
          <w:kern w:val="0"/>
          <w:szCs w:val="21"/>
          <w:highlight w:val="none"/>
          <w:lang w:val="zh-CN" w:bidi="zh-CN"/>
          <w14:textFill>
            <w14:solidFill>
              <w14:schemeClr w14:val="tx1"/>
            </w14:solidFill>
          </w14:textFill>
        </w:rPr>
        <w:t>候选人</w:t>
      </w:r>
      <w:r>
        <w:rPr>
          <w:rFonts w:hint="eastAsia" w:ascii="宋体" w:hAnsi="宋体" w:cs="宋体"/>
          <w:color w:val="000000" w:themeColor="text1"/>
          <w:kern w:val="0"/>
          <w:szCs w:val="21"/>
          <w:highlight w:val="none"/>
          <w:lang w:val="zh-CN" w:bidi="zh-CN"/>
          <w14:textFill>
            <w14:solidFill>
              <w14:schemeClr w14:val="tx1"/>
            </w14:solidFill>
          </w14:textFill>
        </w:rPr>
        <w:t>确定</w:t>
      </w:r>
      <w:r>
        <w:rPr>
          <w:rFonts w:ascii="宋体" w:hAnsi="宋体" w:cs="宋体"/>
          <w:color w:val="000000" w:themeColor="text1"/>
          <w:kern w:val="0"/>
          <w:szCs w:val="21"/>
          <w:highlight w:val="none"/>
          <w:lang w:val="zh-CN" w:bidi="zh-CN"/>
          <w14:textFill>
            <w14:solidFill>
              <w14:schemeClr w14:val="tx1"/>
            </w14:solidFill>
          </w14:textFill>
        </w:rPr>
        <w:t>中标人</w:t>
      </w:r>
      <w:r>
        <w:rPr>
          <w:rFonts w:hint="eastAsia" w:ascii="宋体" w:hAnsi="宋体"/>
          <w:color w:val="000000" w:themeColor="text1"/>
          <w:szCs w:val="21"/>
          <w:highlight w:val="none"/>
          <w14:textFill>
            <w14:solidFill>
              <w14:schemeClr w14:val="tx1"/>
            </w14:solidFill>
          </w14:textFill>
        </w:rPr>
        <w:t>，投标人</w:t>
      </w:r>
      <w:r>
        <w:rPr>
          <w:rFonts w:hint="eastAsia" w:ascii="宋体" w:hAnsi="宋体" w:cs="宋体"/>
          <w:color w:val="000000" w:themeColor="text1"/>
          <w:kern w:val="0"/>
          <w:szCs w:val="21"/>
          <w:highlight w:val="none"/>
          <w:lang w:val="zh-CN" w:bidi="zh-CN"/>
          <w14:textFill>
            <w14:solidFill>
              <w14:schemeClr w14:val="tx1"/>
            </w14:solidFill>
          </w14:textFill>
        </w:rPr>
        <w:t>最多可</w:t>
      </w:r>
      <w:r>
        <w:rPr>
          <w:rFonts w:ascii="宋体" w:hAnsi="宋体" w:cs="宋体"/>
          <w:color w:val="000000" w:themeColor="text1"/>
          <w:kern w:val="0"/>
          <w:szCs w:val="21"/>
          <w:highlight w:val="none"/>
          <w:lang w:val="zh-CN" w:bidi="zh-CN"/>
          <w14:textFill>
            <w14:solidFill>
              <w14:schemeClr w14:val="tx1"/>
            </w14:solidFill>
          </w14:textFill>
        </w:rPr>
        <w:t>中</w:t>
      </w:r>
      <w:r>
        <w:rPr>
          <w:rFonts w:hint="eastAsia" w:ascii="宋体" w:hAnsi="宋体" w:cs="宋体"/>
          <w:color w:val="000000" w:themeColor="text1"/>
          <w:kern w:val="0"/>
          <w:szCs w:val="21"/>
          <w:highlight w:val="none"/>
          <w:lang w:val="zh-CN" w:bidi="zh-CN"/>
          <w14:textFill>
            <w14:solidFill>
              <w14:schemeClr w14:val="tx1"/>
            </w14:solidFill>
          </w14:textFill>
        </w:rPr>
        <w:t>一</w:t>
      </w:r>
      <w:r>
        <w:rPr>
          <w:rFonts w:ascii="宋体" w:hAnsi="宋体" w:cs="宋体"/>
          <w:color w:val="000000" w:themeColor="text1"/>
          <w:kern w:val="0"/>
          <w:szCs w:val="21"/>
          <w:highlight w:val="none"/>
          <w:lang w:val="zh-CN" w:bidi="zh-CN"/>
          <w14:textFill>
            <w14:solidFill>
              <w14:schemeClr w14:val="tx1"/>
            </w14:solidFill>
          </w14:textFill>
        </w:rPr>
        <w:t>个标</w:t>
      </w:r>
      <w:r>
        <w:rPr>
          <w:rFonts w:hint="eastAsia" w:ascii="宋体" w:hAnsi="宋体" w:cs="宋体"/>
          <w:color w:val="000000" w:themeColor="text1"/>
          <w:kern w:val="0"/>
          <w:szCs w:val="21"/>
          <w:highlight w:val="none"/>
          <w:lang w:val="zh-CN" w:bidi="zh-CN"/>
          <w14:textFill>
            <w14:solidFill>
              <w14:schemeClr w14:val="tx1"/>
            </w14:solidFill>
          </w14:textFill>
        </w:rPr>
        <w:t>段</w:t>
      </w:r>
      <w:r>
        <w:rPr>
          <w:rFonts w:ascii="宋体" w:hAnsi="宋体" w:cs="宋体"/>
          <w:color w:val="000000" w:themeColor="text1"/>
          <w:kern w:val="0"/>
          <w:szCs w:val="21"/>
          <w:highlight w:val="none"/>
          <w:lang w:val="zh-CN" w:bidi="zh-CN"/>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val="zh-CN" w:bidi="zh-CN"/>
          <w14:textFill>
            <w14:solidFill>
              <w14:schemeClr w14:val="tx1"/>
            </w14:solidFill>
          </w14:textFill>
        </w:rPr>
        <w:t>23.4</w:t>
      </w:r>
      <w:r>
        <w:rPr>
          <w:rFonts w:hint="eastAsia" w:hAnsi="宋体"/>
          <w:color w:val="000000" w:themeColor="text1"/>
          <w:highlight w:val="none"/>
          <w14:textFill>
            <w14:solidFill>
              <w14:schemeClr w14:val="tx1"/>
            </w14:solidFill>
          </w14:textFill>
        </w:rPr>
        <w:t>当评标委员会</w:t>
      </w:r>
      <w:r>
        <w:rPr>
          <w:rFonts w:hAnsi="宋体"/>
          <w:color w:val="000000" w:themeColor="text1"/>
          <w:highlight w:val="none"/>
          <w14:textFill>
            <w14:solidFill>
              <w14:schemeClr w14:val="tx1"/>
            </w14:solidFill>
          </w14:textFill>
        </w:rPr>
        <w:t>推荐的</w:t>
      </w:r>
      <w:r>
        <w:rPr>
          <w:rFonts w:hint="eastAsia" w:hAnsi="宋体"/>
          <w:color w:val="000000" w:themeColor="text1"/>
          <w:highlight w:val="none"/>
          <w14:textFill>
            <w14:solidFill>
              <w14:schemeClr w14:val="tx1"/>
            </w14:solidFill>
          </w14:textFill>
        </w:rPr>
        <w:t>成交候选人不足3名时</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招标人将考虑</w:t>
      </w:r>
      <w:r>
        <w:rPr>
          <w:rFonts w:hAnsi="宋体"/>
          <w:color w:val="000000" w:themeColor="text1"/>
          <w:highlight w:val="none"/>
          <w14:textFill>
            <w14:solidFill>
              <w14:schemeClr w14:val="tx1"/>
            </w14:solidFill>
          </w14:textFill>
        </w:rPr>
        <w:t>其竞争是否充分，以决定是否定标。</w:t>
      </w:r>
      <w:r>
        <w:rPr>
          <w:rFonts w:hint="eastAsia" w:hAnsi="宋体"/>
          <w:color w:val="000000" w:themeColor="text1"/>
          <w:highlight w:val="none"/>
          <w14:textFill>
            <w14:solidFill>
              <w14:schemeClr w14:val="tx1"/>
            </w14:solidFill>
          </w14:textFill>
        </w:rPr>
        <w:t>当标段</w:t>
      </w:r>
      <w:r>
        <w:rPr>
          <w:rFonts w:hAnsi="宋体"/>
          <w:color w:val="000000" w:themeColor="text1"/>
          <w:highlight w:val="none"/>
          <w14:textFill>
            <w14:solidFill>
              <w14:schemeClr w14:val="tx1"/>
            </w14:solidFill>
          </w14:textFill>
        </w:rPr>
        <w:t>投标</w:t>
      </w:r>
      <w:r>
        <w:rPr>
          <w:rFonts w:hint="eastAsia" w:hAnsi="宋体"/>
          <w:color w:val="000000" w:themeColor="text1"/>
          <w:highlight w:val="none"/>
          <w14:textFill>
            <w14:solidFill>
              <w14:schemeClr w14:val="tx1"/>
            </w14:solidFill>
          </w14:textFill>
        </w:rPr>
        <w:t>竞争</w:t>
      </w:r>
      <w:r>
        <w:rPr>
          <w:rFonts w:hAnsi="宋体"/>
          <w:color w:val="000000" w:themeColor="text1"/>
          <w:highlight w:val="none"/>
          <w14:textFill>
            <w14:solidFill>
              <w14:schemeClr w14:val="tx1"/>
            </w14:solidFill>
          </w14:textFill>
        </w:rPr>
        <w:t>不充分</w:t>
      </w:r>
      <w:r>
        <w:rPr>
          <w:rFonts w:hint="eastAsia" w:hAnsi="宋体"/>
          <w:color w:val="000000" w:themeColor="text1"/>
          <w:highlight w:val="none"/>
          <w14:textFill>
            <w14:solidFill>
              <w14:schemeClr w14:val="tx1"/>
            </w14:solidFill>
          </w14:textFill>
        </w:rPr>
        <w:t>时</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招标人</w:t>
      </w:r>
      <w:r>
        <w:rPr>
          <w:rFonts w:hAnsi="宋体"/>
          <w:color w:val="000000" w:themeColor="text1"/>
          <w:highlight w:val="none"/>
          <w14:textFill>
            <w14:solidFill>
              <w14:schemeClr w14:val="tx1"/>
            </w14:solidFill>
          </w14:textFill>
        </w:rPr>
        <w:t>也</w:t>
      </w:r>
      <w:r>
        <w:rPr>
          <w:rFonts w:hint="eastAsia" w:ascii="宋体" w:hAnsi="宋体" w:cs="宋体"/>
          <w:color w:val="000000" w:themeColor="text1"/>
          <w:szCs w:val="21"/>
          <w:highlight w:val="none"/>
          <w14:textFill>
            <w14:solidFill>
              <w14:schemeClr w14:val="tx1"/>
            </w14:solidFill>
          </w14:textFill>
        </w:rPr>
        <w:t>可以重新招标</w:t>
      </w:r>
      <w:r>
        <w:rPr>
          <w:rFonts w:hint="eastAsia" w:hAnsi="宋体"/>
          <w:color w:val="000000" w:themeColor="text1"/>
          <w:highlight w:val="none"/>
          <w14:textFill>
            <w14:solidFill>
              <w14:schemeClr w14:val="tx1"/>
            </w14:solidFill>
          </w14:textFill>
        </w:rPr>
        <w:t>。</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367" w:name="_Toc183582238"/>
      <w:bookmarkStart w:id="368" w:name="_Toc183682375"/>
      <w:bookmarkStart w:id="369" w:name="_Toc19077"/>
      <w:bookmarkStart w:id="370" w:name="_Toc325464843"/>
      <w:bookmarkStart w:id="371" w:name="_Toc11857"/>
      <w:bookmarkStart w:id="372" w:name="_Toc29180"/>
      <w:bookmarkStart w:id="373" w:name="_Toc12690"/>
      <w:bookmarkStart w:id="374" w:name="_Toc317509259"/>
      <w:bookmarkStart w:id="375" w:name="_Toc50654832"/>
      <w:bookmarkStart w:id="376" w:name="_Toc317509412"/>
      <w:bookmarkStart w:id="377" w:name="_Toc325096494"/>
      <w:bookmarkStart w:id="378" w:name="_Toc217446063"/>
      <w:bookmarkStart w:id="379" w:name="_Toc339565689"/>
      <w:r>
        <w:rPr>
          <w:rFonts w:hint="eastAsia" w:ascii="宋体" w:hAnsi="宋体"/>
          <w:color w:val="000000"/>
          <w:sz w:val="21"/>
          <w:szCs w:val="21"/>
          <w:highlight w:val="none"/>
        </w:rPr>
        <w:t>2</w:t>
      </w:r>
      <w:r>
        <w:rPr>
          <w:rFonts w:ascii="宋体" w:hAnsi="宋体"/>
          <w:color w:val="000000"/>
          <w:sz w:val="21"/>
          <w:szCs w:val="21"/>
          <w:highlight w:val="none"/>
        </w:rPr>
        <w:t>4</w:t>
      </w:r>
      <w:r>
        <w:rPr>
          <w:rFonts w:hint="eastAsia" w:ascii="宋体" w:hAnsi="宋体"/>
          <w:color w:val="000000"/>
          <w:sz w:val="21"/>
          <w:szCs w:val="21"/>
          <w:highlight w:val="none"/>
        </w:rPr>
        <w:t>．成交通知</w:t>
      </w:r>
      <w:bookmarkEnd w:id="367"/>
      <w:bookmarkEnd w:id="368"/>
      <w:r>
        <w:rPr>
          <w:rFonts w:hint="eastAsia" w:ascii="宋体" w:hAnsi="宋体"/>
          <w:color w:val="000000"/>
          <w:sz w:val="21"/>
          <w:szCs w:val="21"/>
          <w:highlight w:val="none"/>
        </w:rPr>
        <w:t>书</w:t>
      </w:r>
      <w:bookmarkEnd w:id="369"/>
      <w:bookmarkEnd w:id="370"/>
      <w:bookmarkEnd w:id="371"/>
      <w:bookmarkEnd w:id="372"/>
      <w:bookmarkEnd w:id="373"/>
      <w:bookmarkEnd w:id="374"/>
      <w:bookmarkEnd w:id="375"/>
      <w:bookmarkEnd w:id="376"/>
      <w:bookmarkEnd w:id="377"/>
      <w:bookmarkEnd w:id="378"/>
      <w:bookmarkEnd w:id="379"/>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4</w:t>
      </w:r>
      <w:r>
        <w:rPr>
          <w:rFonts w:hint="eastAsia" w:ascii="宋体" w:hAnsi="宋体"/>
          <w:color w:val="000000"/>
          <w:szCs w:val="21"/>
          <w:highlight w:val="none"/>
        </w:rPr>
        <w:t>.1 成交通知书为签订合同的依据，是合同的有效组成部分。</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4</w:t>
      </w:r>
      <w:r>
        <w:rPr>
          <w:rFonts w:hint="eastAsia" w:ascii="宋体" w:hAnsi="宋体"/>
          <w:color w:val="000000"/>
          <w:szCs w:val="21"/>
          <w:highlight w:val="none"/>
        </w:rPr>
        <w:t>.2 采购人在确定成交投标人后2个工作日内，向成交投标人发出成交通知书。</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24.3成交通知书对招标人和成交投标人均具有法律效力。成交通知书发出后，招标人改变成交结果，或者成交投标人无正当理由放弃成交的，应当承担相应的法律责任。</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4</w:t>
      </w:r>
      <w:r>
        <w:rPr>
          <w:rFonts w:hint="eastAsia" w:ascii="宋体" w:hAnsi="宋体"/>
          <w:color w:val="000000"/>
          <w:szCs w:val="21"/>
          <w:highlight w:val="none"/>
        </w:rPr>
        <w:t>.</w:t>
      </w:r>
      <w:r>
        <w:rPr>
          <w:rFonts w:ascii="宋体" w:hAnsi="宋体"/>
          <w:color w:val="000000"/>
          <w:szCs w:val="21"/>
          <w:highlight w:val="none"/>
        </w:rPr>
        <w:t>4</w:t>
      </w:r>
      <w:r>
        <w:rPr>
          <w:rFonts w:hint="eastAsia" w:ascii="宋体" w:hAnsi="宋体"/>
          <w:color w:val="000000"/>
          <w:szCs w:val="21"/>
          <w:highlight w:val="none"/>
        </w:rPr>
        <w:t>成交投标人的谈判文件本应作为无效谈判处理或者有相关招标法律法规规章制度规定的成交无效情形的，招标咨询机构在取得有权主体的认定以后，应当宣布发出的成交通知书无效，并收回发出的成交通知书(成交投标人也应当缴回)，依法重新确定成交投标人或者重新开展招标活动。</w:t>
      </w:r>
    </w:p>
    <w:p>
      <w:pPr>
        <w:pStyle w:val="3"/>
        <w:spacing w:line="400" w:lineRule="exact"/>
        <w:jc w:val="center"/>
        <w:rPr>
          <w:rFonts w:ascii="宋体" w:hAnsi="宋体" w:eastAsia="宋体"/>
          <w:color w:val="000000"/>
          <w:sz w:val="21"/>
          <w:szCs w:val="21"/>
          <w:highlight w:val="none"/>
        </w:rPr>
      </w:pPr>
      <w:bookmarkStart w:id="380" w:name="_Toc16864"/>
      <w:bookmarkStart w:id="381" w:name="_Toc16431"/>
      <w:bookmarkStart w:id="382" w:name="_Toc325464844"/>
      <w:bookmarkStart w:id="383" w:name="_Toc25409"/>
      <w:bookmarkStart w:id="384" w:name="_Toc217446064"/>
      <w:bookmarkStart w:id="385" w:name="_Toc50654833"/>
      <w:bookmarkStart w:id="386" w:name="_Toc31430"/>
      <w:bookmarkStart w:id="387" w:name="_Toc339565690"/>
      <w:bookmarkStart w:id="388" w:name="_Toc183682377"/>
      <w:bookmarkStart w:id="389" w:name="_Toc183582240"/>
      <w:r>
        <w:rPr>
          <w:rFonts w:hint="eastAsia" w:ascii="宋体" w:hAnsi="宋体" w:eastAsia="宋体"/>
          <w:color w:val="000000"/>
          <w:sz w:val="21"/>
          <w:szCs w:val="21"/>
          <w:highlight w:val="none"/>
        </w:rPr>
        <w:t>六、签订及履行合同</w:t>
      </w:r>
      <w:bookmarkEnd w:id="380"/>
      <w:bookmarkEnd w:id="381"/>
      <w:bookmarkEnd w:id="382"/>
      <w:bookmarkEnd w:id="383"/>
      <w:bookmarkEnd w:id="384"/>
      <w:bookmarkEnd w:id="385"/>
      <w:bookmarkEnd w:id="386"/>
      <w:bookmarkEnd w:id="387"/>
    </w:p>
    <w:p>
      <w:pPr>
        <w:pStyle w:val="3"/>
        <w:adjustRightInd w:val="0"/>
        <w:snapToGrid w:val="0"/>
        <w:spacing w:before="0" w:after="0" w:line="360" w:lineRule="auto"/>
        <w:ind w:firstLine="413" w:firstLineChars="196"/>
        <w:rPr>
          <w:rFonts w:ascii="宋体" w:hAnsi="宋体" w:eastAsia="宋体"/>
          <w:color w:val="000000"/>
          <w:sz w:val="21"/>
          <w:szCs w:val="21"/>
          <w:highlight w:val="none"/>
        </w:rPr>
      </w:pPr>
      <w:bookmarkStart w:id="390" w:name="_Toc3808"/>
      <w:bookmarkStart w:id="391" w:name="_Toc217446065"/>
      <w:bookmarkStart w:id="392" w:name="_Toc325464845"/>
      <w:bookmarkStart w:id="393" w:name="_Toc317509414"/>
      <w:bookmarkStart w:id="394" w:name="_Toc2467"/>
      <w:bookmarkStart w:id="395" w:name="_Toc31627"/>
      <w:bookmarkStart w:id="396" w:name="_Toc325096496"/>
      <w:bookmarkStart w:id="397" w:name="_Toc50654834"/>
      <w:bookmarkStart w:id="398" w:name="_Toc339565691"/>
      <w:bookmarkStart w:id="399" w:name="_Toc21944"/>
      <w:bookmarkStart w:id="400" w:name="_Toc317509261"/>
      <w:r>
        <w:rPr>
          <w:rFonts w:hint="eastAsia" w:ascii="宋体" w:hAnsi="宋体" w:eastAsia="宋体"/>
          <w:color w:val="000000"/>
          <w:sz w:val="21"/>
          <w:szCs w:val="21"/>
          <w:highlight w:val="none"/>
        </w:rPr>
        <w:t>2</w:t>
      </w:r>
      <w:r>
        <w:rPr>
          <w:rFonts w:ascii="宋体" w:hAnsi="宋体" w:eastAsia="宋体"/>
          <w:color w:val="000000"/>
          <w:sz w:val="21"/>
          <w:szCs w:val="21"/>
          <w:highlight w:val="none"/>
        </w:rPr>
        <w:t>5</w:t>
      </w:r>
      <w:r>
        <w:rPr>
          <w:rFonts w:hint="eastAsia" w:ascii="宋体" w:hAnsi="宋体" w:eastAsia="宋体"/>
          <w:color w:val="000000"/>
          <w:sz w:val="21"/>
          <w:szCs w:val="21"/>
          <w:highlight w:val="none"/>
        </w:rPr>
        <w:t>. 签订合同</w:t>
      </w:r>
      <w:bookmarkEnd w:id="390"/>
      <w:bookmarkEnd w:id="391"/>
      <w:bookmarkEnd w:id="392"/>
      <w:bookmarkEnd w:id="393"/>
      <w:bookmarkEnd w:id="394"/>
      <w:bookmarkEnd w:id="395"/>
      <w:bookmarkEnd w:id="396"/>
      <w:bookmarkEnd w:id="397"/>
      <w:bookmarkEnd w:id="398"/>
      <w:bookmarkEnd w:id="399"/>
      <w:bookmarkEnd w:id="400"/>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5</w:t>
      </w:r>
      <w:r>
        <w:rPr>
          <w:rFonts w:hint="eastAsia" w:ascii="宋体" w:hAnsi="宋体"/>
          <w:color w:val="000000"/>
          <w:szCs w:val="21"/>
          <w:highlight w:val="none"/>
        </w:rPr>
        <w:t>.1成交投标人在收到招标人发出的《成交通知书》后，在</w:t>
      </w:r>
      <w:r>
        <w:rPr>
          <w:rFonts w:ascii="宋体" w:hAnsi="宋体"/>
          <w:color w:val="000000"/>
          <w:szCs w:val="21"/>
          <w:highlight w:val="none"/>
        </w:rPr>
        <w:t>30</w:t>
      </w:r>
      <w:r>
        <w:rPr>
          <w:rFonts w:hint="eastAsia" w:ascii="宋体" w:hAnsi="宋体"/>
          <w:color w:val="000000"/>
          <w:szCs w:val="21"/>
          <w:highlight w:val="none"/>
        </w:rPr>
        <w:t>日内与采购人签订合同。由于成交投标人的原因逾期未与采购人签订合同的，将视为放弃成交，取消其成交资格并将按相关规定进行信誉处理。</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2</w:t>
      </w:r>
      <w:r>
        <w:rPr>
          <w:rFonts w:hint="eastAsia" w:ascii="宋体" w:hAnsi="宋体"/>
          <w:color w:val="000000"/>
          <w:szCs w:val="21"/>
          <w:highlight w:val="none"/>
        </w:rPr>
        <w:t>采购人不得向成交投标人提出任何不合理的要求，作为签订合同的条件，不得与成交投标人私下订立背离合同实质性内容的任何协议，所签订的合同不得对竞争性谈判文件和成交投标人响应文件作实质性修改。</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3</w:t>
      </w:r>
      <w:r>
        <w:rPr>
          <w:rFonts w:hint="eastAsia" w:ascii="宋体" w:hAnsi="宋体"/>
          <w:color w:val="000000"/>
          <w:szCs w:val="21"/>
          <w:highlight w:val="none"/>
        </w:rPr>
        <w:t xml:space="preserve"> 成交投标人因不可抗力原因不能履行合同或放弃成交的，采购人可以与排在成交投标人之后第一位的成交候选人签订合同，以此类推。</w:t>
      </w:r>
      <w:r>
        <w:rPr>
          <w:rFonts w:hint="eastAsia" w:hAnsi="宋体"/>
          <w:color w:val="000000" w:themeColor="text1"/>
          <w:highlight w:val="none"/>
          <w14:textFill>
            <w14:solidFill>
              <w14:schemeClr w14:val="tx1"/>
            </w14:solidFill>
          </w14:textFill>
        </w:rPr>
        <w:t>或者招标人</w:t>
      </w:r>
      <w:r>
        <w:rPr>
          <w:rFonts w:hAnsi="宋体"/>
          <w:color w:val="000000" w:themeColor="text1"/>
          <w:highlight w:val="none"/>
          <w14:textFill>
            <w14:solidFill>
              <w14:schemeClr w14:val="tx1"/>
            </w14:solidFill>
          </w14:textFill>
        </w:rPr>
        <w:t>也</w:t>
      </w:r>
      <w:r>
        <w:rPr>
          <w:rFonts w:hint="eastAsia" w:ascii="宋体" w:hAnsi="宋体" w:cs="宋体"/>
          <w:color w:val="000000" w:themeColor="text1"/>
          <w:szCs w:val="21"/>
          <w:highlight w:val="none"/>
          <w14:textFill>
            <w14:solidFill>
              <w14:schemeClr w14:val="tx1"/>
            </w14:solidFill>
          </w14:textFill>
        </w:rPr>
        <w:t>可以重新招标</w:t>
      </w:r>
      <w:r>
        <w:rPr>
          <w:rFonts w:hint="eastAsia" w:hAnsi="宋体"/>
          <w:color w:val="000000" w:themeColor="text1"/>
          <w:highlight w:val="none"/>
          <w14:textFill>
            <w14:solidFill>
              <w14:schemeClr w14:val="tx1"/>
            </w14:solidFill>
          </w14:textFill>
        </w:rPr>
        <w:t>。</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4</w:t>
      </w:r>
      <w:r>
        <w:rPr>
          <w:rFonts w:hint="eastAsia" w:hAnsi="宋体" w:cs="宋体"/>
          <w:highlight w:val="none"/>
        </w:rPr>
        <w:t>成交投标人和采购人签订合同协议书的同时需按照本竞争性谈判文件规定的格式和要求签订合同附件</w:t>
      </w:r>
      <w:r>
        <w:rPr>
          <w:rFonts w:hAnsi="宋体" w:cs="宋体"/>
          <w:highlight w:val="none"/>
        </w:rPr>
        <w:t>中的相关合同</w:t>
      </w:r>
      <w:r>
        <w:rPr>
          <w:rFonts w:hint="eastAsia" w:hAnsi="宋体" w:cs="宋体"/>
          <w:highlight w:val="none"/>
        </w:rPr>
        <w:t>，明确双方的权利和义务以及应承担的违约责任。</w:t>
      </w:r>
    </w:p>
    <w:p>
      <w:pPr>
        <w:adjustRightInd w:val="0"/>
        <w:snapToGrid w:val="0"/>
        <w:spacing w:line="360" w:lineRule="auto"/>
        <w:ind w:firstLine="420" w:firstLineChars="200"/>
        <w:rPr>
          <w:rFonts w:ascii="宋体" w:hAnsi="宋体"/>
          <w:color w:val="000000"/>
          <w:szCs w:val="21"/>
          <w:highlight w:val="none"/>
        </w:rPr>
      </w:pPr>
      <w:r>
        <w:rPr>
          <w:rFonts w:ascii="宋体" w:hAnsi="宋体"/>
          <w:color w:val="000000"/>
          <w:szCs w:val="21"/>
          <w:highlight w:val="none"/>
        </w:rPr>
        <w:t>25.5</w:t>
      </w:r>
      <w:r>
        <w:rPr>
          <w:rFonts w:hint="eastAsia" w:ascii="宋体" w:hAnsi="宋体"/>
          <w:color w:val="000000"/>
          <w:szCs w:val="21"/>
          <w:highlight w:val="none"/>
        </w:rPr>
        <w:t>履约保证金</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见谈判须知前附表</w:t>
      </w:r>
      <w:r>
        <w:rPr>
          <w:rFonts w:ascii="宋体" w:hAnsi="宋体"/>
          <w:color w:val="000000"/>
          <w:szCs w:val="21"/>
          <w:highlight w:val="none"/>
        </w:rPr>
        <w:t>。</w:t>
      </w:r>
    </w:p>
    <w:p>
      <w:pPr>
        <w:adjustRightInd w:val="0"/>
        <w:snapToGrid w:val="0"/>
        <w:spacing w:line="360" w:lineRule="auto"/>
        <w:ind w:firstLine="422" w:firstLineChars="200"/>
        <w:rPr>
          <w:rFonts w:ascii="宋体" w:hAnsi="宋体"/>
          <w:b/>
          <w:color w:val="000000"/>
          <w:kern w:val="0"/>
          <w:szCs w:val="21"/>
          <w:highlight w:val="none"/>
        </w:rPr>
      </w:pPr>
      <w:bookmarkStart w:id="401" w:name="_Toc24954"/>
      <w:bookmarkStart w:id="402" w:name="_Toc1298"/>
      <w:bookmarkStart w:id="403" w:name="_Toc325464846"/>
      <w:bookmarkStart w:id="404" w:name="_Toc317509415"/>
      <w:bookmarkStart w:id="405" w:name="_Toc325096497"/>
      <w:bookmarkStart w:id="406" w:name="_Toc217446067"/>
      <w:bookmarkStart w:id="407" w:name="_Toc339565692"/>
      <w:bookmarkStart w:id="408" w:name="_Toc18542"/>
      <w:bookmarkStart w:id="409" w:name="_Toc20845"/>
      <w:bookmarkStart w:id="410" w:name="_Toc317509262"/>
      <w:r>
        <w:rPr>
          <w:rFonts w:hint="eastAsia" w:ascii="宋体" w:hAnsi="宋体"/>
          <w:b/>
          <w:color w:val="000000"/>
          <w:kern w:val="0"/>
          <w:szCs w:val="21"/>
          <w:highlight w:val="none"/>
        </w:rPr>
        <w:t>2</w:t>
      </w:r>
      <w:r>
        <w:rPr>
          <w:rFonts w:ascii="宋体" w:hAnsi="宋体"/>
          <w:b/>
          <w:color w:val="000000"/>
          <w:kern w:val="0"/>
          <w:szCs w:val="21"/>
          <w:highlight w:val="none"/>
        </w:rPr>
        <w:t>6</w:t>
      </w:r>
      <w:r>
        <w:rPr>
          <w:rFonts w:hint="eastAsia" w:ascii="宋体" w:hAnsi="宋体"/>
          <w:b/>
          <w:color w:val="000000"/>
          <w:kern w:val="0"/>
          <w:szCs w:val="21"/>
          <w:highlight w:val="none"/>
        </w:rPr>
        <w:t xml:space="preserve">. </w:t>
      </w:r>
      <w:bookmarkEnd w:id="401"/>
      <w:bookmarkEnd w:id="402"/>
      <w:bookmarkEnd w:id="403"/>
      <w:bookmarkEnd w:id="404"/>
      <w:bookmarkEnd w:id="405"/>
      <w:bookmarkEnd w:id="406"/>
      <w:bookmarkEnd w:id="407"/>
      <w:bookmarkEnd w:id="408"/>
      <w:bookmarkEnd w:id="409"/>
      <w:bookmarkEnd w:id="410"/>
      <w:bookmarkStart w:id="411" w:name="_Toc317509417"/>
      <w:bookmarkStart w:id="412" w:name="_Toc217446069"/>
      <w:bookmarkStart w:id="413" w:name="_Toc325464847"/>
      <w:bookmarkStart w:id="414" w:name="_Toc317509264"/>
      <w:bookmarkStart w:id="415" w:name="_Toc1256"/>
      <w:bookmarkStart w:id="416" w:name="_Toc22569"/>
      <w:bookmarkStart w:id="417" w:name="_Toc16072"/>
      <w:bookmarkStart w:id="418" w:name="_Toc325096498"/>
      <w:bookmarkStart w:id="419" w:name="_Toc28562"/>
      <w:bookmarkStart w:id="420" w:name="_Toc339565693"/>
      <w:r>
        <w:rPr>
          <w:rFonts w:hint="eastAsia" w:ascii="宋体" w:hAnsi="宋体"/>
          <w:b/>
          <w:color w:val="000000"/>
          <w:kern w:val="0"/>
          <w:szCs w:val="21"/>
          <w:highlight w:val="none"/>
        </w:rPr>
        <w:t>履行合同</w:t>
      </w:r>
      <w:bookmarkEnd w:id="411"/>
      <w:bookmarkEnd w:id="412"/>
      <w:bookmarkEnd w:id="413"/>
      <w:bookmarkEnd w:id="414"/>
      <w:bookmarkEnd w:id="415"/>
      <w:bookmarkEnd w:id="416"/>
      <w:bookmarkEnd w:id="417"/>
      <w:bookmarkEnd w:id="418"/>
      <w:bookmarkEnd w:id="419"/>
      <w:bookmarkEnd w:id="420"/>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6</w:t>
      </w:r>
      <w:r>
        <w:rPr>
          <w:rFonts w:hint="eastAsia" w:ascii="宋体" w:hAnsi="宋体"/>
          <w:color w:val="000000"/>
          <w:szCs w:val="21"/>
          <w:highlight w:val="none"/>
        </w:rPr>
        <w:t>.1 成交投标人与采购人签订合同后，合同双方应严格执行合同条款，履行合同规定的义务，保证合同的顺利完成。</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6</w:t>
      </w:r>
      <w:r>
        <w:rPr>
          <w:rFonts w:hint="eastAsia" w:ascii="宋体" w:hAnsi="宋体"/>
          <w:color w:val="000000"/>
          <w:szCs w:val="21"/>
          <w:highlight w:val="none"/>
        </w:rPr>
        <w:t>.2 在合同履行过程中，如发生合同纠纷，合同双方应按照《合同法》的有关规定进行处理。</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6</w:t>
      </w:r>
      <w:r>
        <w:rPr>
          <w:rFonts w:hint="eastAsia" w:ascii="宋体" w:hAnsi="宋体"/>
          <w:color w:val="000000"/>
          <w:szCs w:val="21"/>
          <w:highlight w:val="none"/>
        </w:rPr>
        <w:t>.3合同款支付，详见</w:t>
      </w:r>
      <w:r>
        <w:rPr>
          <w:rFonts w:ascii="宋体" w:hAnsi="宋体"/>
          <w:color w:val="000000"/>
          <w:szCs w:val="21"/>
          <w:highlight w:val="none"/>
        </w:rPr>
        <w:t>合同条款</w:t>
      </w:r>
      <w:r>
        <w:rPr>
          <w:rFonts w:hint="eastAsia" w:ascii="宋体" w:hAnsi="宋体"/>
          <w:color w:val="000000"/>
          <w:szCs w:val="21"/>
          <w:highlight w:val="none"/>
        </w:rPr>
        <w:t>。</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6.4</w:t>
      </w:r>
      <w:r>
        <w:rPr>
          <w:rFonts w:hint="eastAsia" w:ascii="宋体" w:hAnsi="宋体"/>
          <w:color w:val="000000"/>
          <w:szCs w:val="21"/>
          <w:highlight w:val="none"/>
        </w:rPr>
        <w:t>本采购项目严禁成交</w:t>
      </w:r>
      <w:r>
        <w:rPr>
          <w:rFonts w:hint="eastAsia" w:ascii="宋体" w:hAnsi="宋体" w:cs="宋体"/>
          <w:szCs w:val="21"/>
          <w:highlight w:val="none"/>
        </w:rPr>
        <w:t>投标人</w:t>
      </w:r>
      <w:r>
        <w:rPr>
          <w:rFonts w:hint="eastAsia" w:ascii="宋体" w:hAnsi="宋体"/>
          <w:color w:val="000000"/>
          <w:szCs w:val="21"/>
          <w:highlight w:val="none"/>
        </w:rPr>
        <w:t>将采购合同义务转包以及分包。</w:t>
      </w:r>
    </w:p>
    <w:p>
      <w:pPr>
        <w:adjustRightInd w:val="0"/>
        <w:snapToGrid w:val="0"/>
        <w:spacing w:line="360" w:lineRule="auto"/>
        <w:ind w:firstLine="422" w:firstLineChars="200"/>
        <w:rPr>
          <w:rFonts w:ascii="宋体" w:hAnsi="宋体"/>
          <w:b/>
          <w:color w:val="000000"/>
          <w:kern w:val="0"/>
          <w:szCs w:val="21"/>
          <w:highlight w:val="none"/>
        </w:rPr>
      </w:pPr>
      <w:r>
        <w:rPr>
          <w:rFonts w:hint="eastAsia" w:ascii="宋体" w:hAnsi="宋体"/>
          <w:b/>
          <w:color w:val="000000"/>
          <w:kern w:val="0"/>
          <w:szCs w:val="21"/>
          <w:highlight w:val="none"/>
        </w:rPr>
        <w:t>2</w:t>
      </w:r>
      <w:r>
        <w:rPr>
          <w:rFonts w:ascii="宋体" w:hAnsi="宋体"/>
          <w:b/>
          <w:color w:val="000000"/>
          <w:kern w:val="0"/>
          <w:szCs w:val="21"/>
          <w:highlight w:val="none"/>
        </w:rPr>
        <w:t>7.</w:t>
      </w:r>
      <w:r>
        <w:rPr>
          <w:rFonts w:hint="eastAsia" w:ascii="宋体" w:hAnsi="宋体"/>
          <w:b/>
          <w:color w:val="000000"/>
          <w:kern w:val="0"/>
          <w:szCs w:val="21"/>
          <w:highlight w:val="none"/>
        </w:rPr>
        <w:t xml:space="preserve"> 补充合同</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采购合同履行过程中，采购人需要追加与合同标的相同或同类型的服务的，在不改变合同其他条款的前提下，可以与成交投标人协商签订补充合同，该补充合同应当在原采购合同履行过程中，不得在原采购合同履行结束后。</w:t>
      </w:r>
    </w:p>
    <w:p>
      <w:pPr>
        <w:adjustRightInd w:val="0"/>
        <w:snapToGrid w:val="0"/>
        <w:spacing w:line="360" w:lineRule="auto"/>
        <w:ind w:firstLine="422" w:firstLineChars="200"/>
        <w:rPr>
          <w:rFonts w:ascii="宋体" w:hAnsi="宋体"/>
          <w:b/>
          <w:color w:val="000000"/>
          <w:szCs w:val="21"/>
          <w:highlight w:val="none"/>
        </w:rPr>
      </w:pPr>
      <w:r>
        <w:rPr>
          <w:rFonts w:hint="eastAsia" w:ascii="宋体" w:hAnsi="宋体"/>
          <w:b/>
          <w:color w:val="000000"/>
          <w:szCs w:val="21"/>
          <w:highlight w:val="none"/>
        </w:rPr>
        <w:t>28</w:t>
      </w:r>
      <w:r>
        <w:rPr>
          <w:rFonts w:ascii="宋体" w:hAnsi="宋体"/>
          <w:b/>
          <w:color w:val="000000"/>
          <w:szCs w:val="21"/>
          <w:highlight w:val="none"/>
        </w:rPr>
        <w:t>.</w:t>
      </w:r>
      <w:r>
        <w:rPr>
          <w:rFonts w:hint="eastAsia" w:ascii="宋体" w:hAnsi="宋体"/>
          <w:b/>
          <w:color w:val="000000"/>
          <w:szCs w:val="21"/>
          <w:highlight w:val="none"/>
        </w:rPr>
        <w:t>验收</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28</w:t>
      </w:r>
      <w:r>
        <w:rPr>
          <w:rFonts w:ascii="宋体" w:hAnsi="宋体"/>
          <w:color w:val="000000"/>
          <w:szCs w:val="21"/>
          <w:highlight w:val="none"/>
        </w:rPr>
        <w:t>.1</w:t>
      </w:r>
      <w:r>
        <w:rPr>
          <w:rFonts w:hint="eastAsia" w:ascii="宋体" w:hAnsi="宋体"/>
          <w:color w:val="000000"/>
          <w:szCs w:val="21"/>
          <w:highlight w:val="none"/>
        </w:rPr>
        <w:t>本项目采购人将严格按照“第三章供货要求”以及“第五章合同条款”进行采购项目的验收。</w:t>
      </w:r>
    </w:p>
    <w:p>
      <w:pPr>
        <w:pStyle w:val="3"/>
        <w:spacing w:line="400" w:lineRule="exact"/>
        <w:jc w:val="center"/>
        <w:rPr>
          <w:rFonts w:ascii="宋体" w:hAnsi="宋体" w:eastAsia="宋体"/>
          <w:color w:val="000000"/>
          <w:sz w:val="21"/>
          <w:szCs w:val="21"/>
          <w:highlight w:val="none"/>
        </w:rPr>
      </w:pPr>
      <w:bookmarkStart w:id="421" w:name="_Toc325464849"/>
      <w:bookmarkStart w:id="422" w:name="_Toc20417"/>
      <w:bookmarkStart w:id="423" w:name="_Toc339565695"/>
      <w:bookmarkStart w:id="424" w:name="_Toc26941"/>
      <w:bookmarkStart w:id="425" w:name="_Toc8443"/>
      <w:bookmarkStart w:id="426" w:name="_Toc217446071"/>
      <w:bookmarkStart w:id="427" w:name="_Toc808"/>
      <w:bookmarkStart w:id="428" w:name="_Toc50654835"/>
      <w:r>
        <w:rPr>
          <w:rFonts w:hint="eastAsia" w:ascii="宋体" w:hAnsi="宋体" w:eastAsia="宋体"/>
          <w:color w:val="000000"/>
          <w:sz w:val="21"/>
          <w:szCs w:val="21"/>
          <w:highlight w:val="none"/>
        </w:rPr>
        <w:t>七、</w:t>
      </w:r>
      <w:bookmarkEnd w:id="421"/>
      <w:bookmarkEnd w:id="422"/>
      <w:bookmarkEnd w:id="423"/>
      <w:bookmarkEnd w:id="424"/>
      <w:bookmarkEnd w:id="425"/>
      <w:bookmarkEnd w:id="426"/>
      <w:bookmarkEnd w:id="427"/>
      <w:r>
        <w:rPr>
          <w:rFonts w:hint="eastAsia" w:ascii="宋体" w:hAnsi="宋体" w:eastAsia="宋体"/>
          <w:color w:val="000000"/>
          <w:sz w:val="21"/>
          <w:szCs w:val="21"/>
          <w:highlight w:val="none"/>
        </w:rPr>
        <w:t>谈判失败</w:t>
      </w:r>
      <w:bookmarkEnd w:id="428"/>
    </w:p>
    <w:bookmarkEnd w:id="388"/>
    <w:bookmarkEnd w:id="389"/>
    <w:p>
      <w:pPr>
        <w:adjustRightInd w:val="0"/>
        <w:snapToGrid w:val="0"/>
        <w:spacing w:line="360" w:lineRule="auto"/>
        <w:ind w:firstLine="422" w:firstLineChars="200"/>
        <w:rPr>
          <w:rFonts w:ascii="宋体" w:hAnsi="宋体"/>
          <w:b/>
          <w:color w:val="000000"/>
          <w:kern w:val="0"/>
          <w:szCs w:val="21"/>
          <w:highlight w:val="none"/>
        </w:rPr>
      </w:pPr>
      <w:bookmarkStart w:id="429" w:name="_Toc183682380"/>
      <w:bookmarkStart w:id="430" w:name="_Toc183582243"/>
      <w:r>
        <w:rPr>
          <w:rFonts w:hint="eastAsia" w:ascii="宋体" w:hAnsi="宋体"/>
          <w:b/>
          <w:color w:val="000000"/>
          <w:kern w:val="0"/>
          <w:szCs w:val="21"/>
          <w:highlight w:val="none"/>
        </w:rPr>
        <w:t>2</w:t>
      </w:r>
      <w:r>
        <w:rPr>
          <w:rFonts w:ascii="宋体" w:hAnsi="宋体"/>
          <w:b/>
          <w:color w:val="000000"/>
          <w:kern w:val="0"/>
          <w:szCs w:val="21"/>
          <w:highlight w:val="none"/>
        </w:rPr>
        <w:t>9</w:t>
      </w:r>
      <w:r>
        <w:rPr>
          <w:rFonts w:hint="eastAsia" w:ascii="宋体" w:hAnsi="宋体"/>
          <w:b/>
          <w:color w:val="000000"/>
          <w:kern w:val="0"/>
          <w:szCs w:val="21"/>
          <w:highlight w:val="none"/>
        </w:rPr>
        <w:t>.竞争性谈判采购中，出现下列情形之一的，谈判失败：</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(1)参加谈判的投标人均被淘汰的；</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(2)谈判结束，投标人响应文件均不能满足谈判文件规定的招标项目最低要求的；</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(3)投标人的报价使得招标人无法接受的；</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(4)其他无法继续开展谈判或者无法成交的情形。 </w:t>
      </w:r>
    </w:p>
    <w:p>
      <w:pPr>
        <w:pStyle w:val="3"/>
        <w:spacing w:line="400" w:lineRule="exact"/>
        <w:jc w:val="center"/>
        <w:rPr>
          <w:rFonts w:ascii="宋体" w:hAnsi="宋体" w:eastAsia="宋体"/>
          <w:color w:val="000000"/>
          <w:sz w:val="21"/>
          <w:szCs w:val="21"/>
          <w:highlight w:val="none"/>
        </w:rPr>
      </w:pPr>
      <w:bookmarkStart w:id="431" w:name="_Toc28016"/>
      <w:bookmarkStart w:id="432" w:name="_Toc325464851"/>
      <w:bookmarkStart w:id="433" w:name="_Toc7002"/>
      <w:bookmarkStart w:id="434" w:name="_Toc339565697"/>
      <w:bookmarkStart w:id="435" w:name="_Toc12911"/>
      <w:bookmarkStart w:id="436" w:name="_Toc11101"/>
      <w:bookmarkStart w:id="437" w:name="_Toc217446074"/>
      <w:bookmarkStart w:id="438" w:name="_Toc50654836"/>
      <w:bookmarkStart w:id="439" w:name="_Toc317509268"/>
      <w:r>
        <w:rPr>
          <w:rFonts w:hint="eastAsia" w:ascii="宋体" w:hAnsi="宋体" w:eastAsia="宋体"/>
          <w:color w:val="000000"/>
          <w:sz w:val="21"/>
          <w:szCs w:val="21"/>
          <w:highlight w:val="none"/>
        </w:rPr>
        <w:t>八、谈判纪律要求</w:t>
      </w:r>
      <w:bookmarkEnd w:id="431"/>
      <w:bookmarkEnd w:id="432"/>
      <w:bookmarkEnd w:id="433"/>
      <w:bookmarkEnd w:id="434"/>
      <w:bookmarkEnd w:id="435"/>
      <w:bookmarkEnd w:id="436"/>
      <w:bookmarkEnd w:id="437"/>
      <w:bookmarkEnd w:id="438"/>
      <w:bookmarkEnd w:id="439"/>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440" w:name="_Toc24044"/>
      <w:bookmarkStart w:id="441" w:name="_Toc30017"/>
      <w:bookmarkStart w:id="442" w:name="_Toc317509269"/>
      <w:bookmarkStart w:id="443" w:name="_Toc339565698"/>
      <w:bookmarkStart w:id="444" w:name="_Toc317509422"/>
      <w:bookmarkStart w:id="445" w:name="_Toc14851"/>
      <w:bookmarkStart w:id="446" w:name="_Toc8573"/>
      <w:bookmarkStart w:id="447" w:name="_Toc325096503"/>
      <w:bookmarkStart w:id="448" w:name="_Toc325464852"/>
      <w:bookmarkStart w:id="449" w:name="_Toc50654837"/>
      <w:bookmarkStart w:id="450" w:name="_Toc217446075"/>
      <w:r>
        <w:rPr>
          <w:rFonts w:ascii="宋体" w:hAnsi="宋体"/>
          <w:color w:val="000000"/>
          <w:sz w:val="21"/>
          <w:szCs w:val="21"/>
          <w:highlight w:val="none"/>
        </w:rPr>
        <w:t>30</w:t>
      </w:r>
      <w:r>
        <w:rPr>
          <w:rFonts w:hint="eastAsia" w:ascii="宋体" w:hAnsi="宋体"/>
          <w:color w:val="000000"/>
          <w:sz w:val="21"/>
          <w:szCs w:val="21"/>
          <w:highlight w:val="none"/>
        </w:rPr>
        <w:t>.投标人不得具有的情形</w:t>
      </w:r>
      <w:bookmarkEnd w:id="440"/>
      <w:bookmarkEnd w:id="441"/>
      <w:bookmarkEnd w:id="442"/>
      <w:bookmarkEnd w:id="443"/>
      <w:bookmarkEnd w:id="444"/>
      <w:bookmarkEnd w:id="445"/>
      <w:bookmarkEnd w:id="446"/>
      <w:bookmarkEnd w:id="447"/>
      <w:bookmarkEnd w:id="448"/>
      <w:bookmarkEnd w:id="449"/>
      <w:bookmarkEnd w:id="450"/>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投标人参加谈判不得有下列情形：</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(1)提供虚假材料谋取成交；</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(2)采取不正当手段诋毁、排挤其他投标人；</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(3)与招标人、其他投标人恶意串通；</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(4)向招标人、谈判委员会成员行贿或者提供其他不正当利益；</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(5)拒绝有关部门的监督检查或者向监督检查部门提供虚假情况。</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有上述情形之一的投标人，属于不合格投标人，其谈判或成交资格将被取消。</w:t>
      </w:r>
    </w:p>
    <w:p>
      <w:pPr>
        <w:pStyle w:val="3"/>
        <w:spacing w:line="400" w:lineRule="exact"/>
        <w:jc w:val="center"/>
        <w:rPr>
          <w:rFonts w:ascii="宋体" w:hAnsi="宋体" w:eastAsia="宋体"/>
          <w:color w:val="000000"/>
          <w:sz w:val="21"/>
          <w:szCs w:val="21"/>
          <w:highlight w:val="none"/>
        </w:rPr>
      </w:pPr>
      <w:bookmarkStart w:id="451" w:name="_Toc19412"/>
      <w:bookmarkStart w:id="452" w:name="_Toc50654838"/>
      <w:bookmarkStart w:id="453" w:name="_Toc24423"/>
      <w:bookmarkStart w:id="454" w:name="_Toc21745"/>
      <w:bookmarkStart w:id="455" w:name="_Toc339565701"/>
      <w:bookmarkStart w:id="456" w:name="_Toc5708"/>
      <w:bookmarkStart w:id="457" w:name="_Toc325464855"/>
      <w:bookmarkStart w:id="458" w:name="_Toc217446078"/>
      <w:r>
        <w:rPr>
          <w:rFonts w:hint="eastAsia" w:ascii="宋体" w:hAnsi="宋体" w:eastAsia="宋体"/>
          <w:color w:val="000000"/>
          <w:sz w:val="21"/>
          <w:szCs w:val="21"/>
          <w:highlight w:val="none"/>
        </w:rPr>
        <w:t>九、质疑和投诉</w:t>
      </w:r>
      <w:bookmarkEnd w:id="451"/>
      <w:bookmarkEnd w:id="452"/>
      <w:bookmarkEnd w:id="453"/>
      <w:bookmarkEnd w:id="454"/>
      <w:bookmarkEnd w:id="455"/>
      <w:bookmarkEnd w:id="456"/>
      <w:bookmarkEnd w:id="457"/>
      <w:bookmarkEnd w:id="458"/>
      <w:bookmarkStart w:id="459" w:name="_Toc217446079"/>
    </w:p>
    <w:bookmarkEnd w:id="459"/>
    <w:p>
      <w:pPr>
        <w:spacing w:line="400" w:lineRule="exact"/>
        <w:ind w:firstLine="422" w:firstLineChars="200"/>
        <w:rPr>
          <w:rFonts w:ascii="宋体" w:hAnsi="宋体"/>
          <w:b/>
          <w:color w:val="000000"/>
          <w:szCs w:val="21"/>
          <w:highlight w:val="none"/>
        </w:rPr>
      </w:pPr>
      <w:r>
        <w:rPr>
          <w:rFonts w:ascii="宋体" w:hAnsi="宋体"/>
          <w:b/>
          <w:color w:val="000000"/>
          <w:szCs w:val="21"/>
          <w:highlight w:val="none"/>
        </w:rPr>
        <w:t>31</w:t>
      </w:r>
      <w:r>
        <w:rPr>
          <w:rFonts w:hint="eastAsia" w:ascii="宋体" w:hAnsi="宋体"/>
          <w:b/>
          <w:color w:val="000000"/>
          <w:szCs w:val="21"/>
          <w:highlight w:val="none"/>
        </w:rPr>
        <w:t>.</w:t>
      </w:r>
      <w:bookmarkEnd w:id="429"/>
      <w:bookmarkEnd w:id="430"/>
      <w:bookmarkStart w:id="460" w:name="_Toc217446081"/>
      <w:r>
        <w:rPr>
          <w:rFonts w:hint="eastAsia" w:ascii="宋体" w:hAnsi="宋体"/>
          <w:b/>
          <w:color w:val="000000"/>
          <w:szCs w:val="21"/>
          <w:highlight w:val="none"/>
        </w:rPr>
        <w:t xml:space="preserve"> 异议</w:t>
      </w:r>
    </w:p>
    <w:p>
      <w:pPr>
        <w:spacing w:line="400" w:lineRule="exact"/>
        <w:ind w:firstLine="420" w:firstLineChars="200"/>
        <w:rPr>
          <w:rFonts w:ascii="宋体" w:hAnsi="宋体"/>
          <w:color w:val="000000"/>
          <w:szCs w:val="21"/>
          <w:highlight w:val="none"/>
        </w:rPr>
      </w:pPr>
      <w:r>
        <w:rPr>
          <w:rFonts w:hint="eastAsia" w:ascii="宋体" w:hAnsi="宋体" w:cs="宋体"/>
          <w:szCs w:val="21"/>
          <w:highlight w:val="none"/>
        </w:rPr>
        <w:t>投标人或利害关系人认为招标投标活动存在不符合法律、法规和规章规定的，可以依法向招标人提出异议，或者依法向有关行政主管部门投诉。投标人或利害关系人对招标文件、开标、评标结果事项进行投诉的，应当依法先向招标人提出异议。</w:t>
      </w:r>
    </w:p>
    <w:p>
      <w:pPr>
        <w:spacing w:line="400" w:lineRule="exact"/>
        <w:ind w:firstLine="422" w:firstLineChars="200"/>
        <w:rPr>
          <w:rFonts w:ascii="宋体" w:hAnsi="宋体"/>
          <w:b/>
          <w:color w:val="000000"/>
          <w:szCs w:val="21"/>
          <w:highlight w:val="none"/>
        </w:rPr>
      </w:pPr>
      <w:r>
        <w:rPr>
          <w:rFonts w:hint="eastAsia" w:ascii="宋体" w:hAnsi="宋体"/>
          <w:b/>
          <w:color w:val="000000"/>
          <w:szCs w:val="21"/>
          <w:highlight w:val="none"/>
        </w:rPr>
        <w:t>32.投诉</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详见</w:t>
      </w:r>
      <w:r>
        <w:rPr>
          <w:rFonts w:hint="eastAsia" w:hAnsi="宋体"/>
          <w:color w:val="000000"/>
          <w:highlight w:val="none"/>
        </w:rPr>
        <w:t>《工程建设项目招标投标活动投诉处理办法》（2004年7月6日国家发展改革委等七部委令第11号、2013年3月11</w:t>
      </w:r>
      <w:r>
        <w:rPr>
          <w:rFonts w:hAnsi="宋体"/>
          <w:color w:val="000000"/>
          <w:highlight w:val="none"/>
        </w:rPr>
        <w:t>日国家发展改革委等</w:t>
      </w:r>
      <w:r>
        <w:rPr>
          <w:rFonts w:hint="eastAsia" w:hAnsi="宋体"/>
          <w:color w:val="000000"/>
          <w:highlight w:val="none"/>
        </w:rPr>
        <w:t>九</w:t>
      </w:r>
      <w:r>
        <w:rPr>
          <w:rFonts w:hAnsi="宋体"/>
          <w:color w:val="000000"/>
          <w:highlight w:val="none"/>
        </w:rPr>
        <w:t>部委令第</w:t>
      </w:r>
      <w:r>
        <w:rPr>
          <w:rFonts w:hint="eastAsia" w:hAnsi="宋体"/>
          <w:color w:val="000000"/>
          <w:highlight w:val="none"/>
        </w:rPr>
        <w:t>23</w:t>
      </w:r>
      <w:r>
        <w:rPr>
          <w:rFonts w:hAnsi="宋体"/>
          <w:color w:val="000000"/>
          <w:highlight w:val="none"/>
        </w:rPr>
        <w:t>号</w:t>
      </w:r>
      <w:r>
        <w:rPr>
          <w:rFonts w:hint="eastAsia" w:hAnsi="宋体"/>
          <w:color w:val="000000"/>
          <w:highlight w:val="none"/>
        </w:rPr>
        <w:t>修改）</w:t>
      </w:r>
      <w:r>
        <w:rPr>
          <w:rFonts w:hAnsi="宋体"/>
          <w:color w:val="000000"/>
          <w:highlight w:val="none"/>
        </w:rPr>
        <w:t>、《</w:t>
      </w:r>
      <w:r>
        <w:rPr>
          <w:rFonts w:hint="eastAsia" w:hAnsi="宋体"/>
          <w:color w:val="000000"/>
          <w:highlight w:val="none"/>
        </w:rPr>
        <w:t>四川省公路工程建设项目招标投标管理实施细则</w:t>
      </w:r>
      <w:r>
        <w:rPr>
          <w:rFonts w:hAnsi="宋体"/>
          <w:color w:val="000000"/>
          <w:highlight w:val="none"/>
        </w:rPr>
        <w:t>》（川交</w:t>
      </w:r>
      <w:r>
        <w:rPr>
          <w:rFonts w:hint="eastAsia" w:hAnsi="宋体"/>
          <w:color w:val="000000"/>
          <w:highlight w:val="none"/>
        </w:rPr>
        <w:t>发</w:t>
      </w:r>
      <w:r>
        <w:rPr>
          <w:rFonts w:hAnsi="宋体"/>
          <w:color w:val="000000"/>
          <w:highlight w:val="none"/>
        </w:rPr>
        <w:t>[2019]32号）的规定接受针对公示内容的投诉。</w:t>
      </w:r>
      <w:r>
        <w:rPr>
          <w:rFonts w:hint="eastAsia" w:hAnsi="宋体"/>
          <w:color w:val="000000"/>
          <w:highlight w:val="none"/>
        </w:rPr>
        <w:t>投诉</w:t>
      </w:r>
      <w:r>
        <w:rPr>
          <w:rFonts w:hAnsi="宋体"/>
          <w:color w:val="000000"/>
          <w:highlight w:val="none"/>
        </w:rPr>
        <w:t>材料要求、</w:t>
      </w:r>
      <w:r>
        <w:rPr>
          <w:rFonts w:hint="eastAsia" w:hAnsi="宋体"/>
          <w:color w:val="000000"/>
          <w:highlight w:val="none"/>
        </w:rPr>
        <w:t>投诉</w:t>
      </w:r>
      <w:r>
        <w:rPr>
          <w:rFonts w:hAnsi="宋体"/>
          <w:color w:val="000000"/>
          <w:highlight w:val="none"/>
        </w:rPr>
        <w:t>受理条件及查处参照七部委令第11号</w:t>
      </w:r>
      <w:r>
        <w:rPr>
          <w:rFonts w:hint="eastAsia" w:hAnsi="宋体"/>
          <w:color w:val="000000"/>
          <w:highlight w:val="none"/>
        </w:rPr>
        <w:t>（九部委令第23号修改）</w:t>
      </w:r>
      <w:r>
        <w:rPr>
          <w:rFonts w:hAnsi="宋体"/>
          <w:color w:val="000000"/>
          <w:highlight w:val="none"/>
        </w:rPr>
        <w:t>和川交</w:t>
      </w:r>
      <w:r>
        <w:rPr>
          <w:rFonts w:hint="eastAsia" w:hAnsi="宋体"/>
          <w:color w:val="000000"/>
          <w:highlight w:val="none"/>
        </w:rPr>
        <w:t>发</w:t>
      </w:r>
      <w:r>
        <w:rPr>
          <w:rFonts w:hAnsi="宋体"/>
          <w:color w:val="000000"/>
          <w:highlight w:val="none"/>
        </w:rPr>
        <w:t>[2019]32号对投诉的规定</w:t>
      </w:r>
      <w:r>
        <w:rPr>
          <w:rFonts w:hint="eastAsia" w:ascii="宋体" w:hAnsi="宋体"/>
          <w:color w:val="000000"/>
          <w:szCs w:val="21"/>
          <w:highlight w:val="none"/>
        </w:rPr>
        <w:t>。</w:t>
      </w:r>
    </w:p>
    <w:p>
      <w:pPr>
        <w:spacing w:line="360" w:lineRule="auto"/>
        <w:rPr>
          <w:rFonts w:ascii="宋体" w:hAnsi="宋体"/>
          <w:color w:val="000000"/>
          <w:szCs w:val="21"/>
          <w:highlight w:val="none"/>
        </w:rPr>
      </w:pPr>
    </w:p>
    <w:bookmarkEnd w:id="460"/>
    <w:p>
      <w:pPr>
        <w:pStyle w:val="3"/>
        <w:spacing w:line="360" w:lineRule="exact"/>
        <w:rPr>
          <w:rFonts w:ascii="宋体" w:hAnsi="宋体" w:eastAsia="宋体"/>
          <w:color w:val="000000"/>
          <w:sz w:val="24"/>
          <w:highlight w:val="none"/>
        </w:rPr>
      </w:pPr>
      <w:bookmarkStart w:id="461" w:name="_Toc217446093"/>
      <w:r>
        <w:rPr>
          <w:rFonts w:hint="eastAsia" w:ascii="宋体" w:hAnsi="宋体" w:eastAsia="宋体"/>
          <w:color w:val="000000"/>
          <w:sz w:val="24"/>
          <w:highlight w:val="none"/>
        </w:rPr>
        <w:br w:type="page"/>
      </w:r>
      <w:bookmarkStart w:id="462" w:name="_Toc50654839"/>
      <w:bookmarkStart w:id="463" w:name="_Toc10880"/>
      <w:r>
        <w:rPr>
          <w:rFonts w:hint="eastAsia" w:ascii="宋体" w:hAnsi="宋体" w:eastAsia="宋体"/>
          <w:color w:val="000000"/>
          <w:sz w:val="24"/>
          <w:highlight w:val="none"/>
        </w:rPr>
        <w:t>附件1</w:t>
      </w:r>
      <w:r>
        <w:rPr>
          <w:rFonts w:ascii="宋体" w:hAnsi="宋体" w:eastAsia="宋体"/>
          <w:color w:val="000000"/>
          <w:sz w:val="24"/>
          <w:highlight w:val="none"/>
        </w:rPr>
        <w:t>：多轮报价的</w:t>
      </w:r>
      <w:r>
        <w:rPr>
          <w:rFonts w:hint="eastAsia" w:ascii="宋体" w:hAnsi="宋体" w:eastAsia="宋体"/>
          <w:color w:val="000000"/>
          <w:sz w:val="24"/>
          <w:highlight w:val="none"/>
        </w:rPr>
        <w:t>谈判</w:t>
      </w:r>
      <w:r>
        <w:rPr>
          <w:rFonts w:ascii="宋体" w:hAnsi="宋体" w:eastAsia="宋体"/>
          <w:color w:val="000000"/>
          <w:sz w:val="24"/>
          <w:highlight w:val="none"/>
        </w:rPr>
        <w:t>报价</w:t>
      </w:r>
      <w:r>
        <w:rPr>
          <w:rFonts w:hint="eastAsia" w:ascii="宋体" w:hAnsi="宋体" w:eastAsia="宋体"/>
          <w:color w:val="000000"/>
          <w:sz w:val="24"/>
          <w:highlight w:val="none"/>
        </w:rPr>
        <w:t>函</w:t>
      </w:r>
      <w:r>
        <w:rPr>
          <w:rFonts w:ascii="宋体" w:hAnsi="宋体" w:eastAsia="宋体"/>
          <w:color w:val="000000"/>
          <w:sz w:val="24"/>
          <w:highlight w:val="none"/>
        </w:rPr>
        <w:t>格式</w:t>
      </w:r>
      <w:bookmarkEnd w:id="462"/>
    </w:p>
    <w:p>
      <w:pPr>
        <w:pStyle w:val="4"/>
        <w:rPr>
          <w:highlight w:val="none"/>
        </w:rPr>
      </w:pPr>
    </w:p>
    <w:p>
      <w:pPr>
        <w:pStyle w:val="4"/>
        <w:rPr>
          <w:highlight w:val="none"/>
        </w:rPr>
      </w:pPr>
    </w:p>
    <w:p>
      <w:pPr>
        <w:keepNext/>
        <w:keepLines/>
        <w:spacing w:before="260" w:after="260" w:line="400" w:lineRule="exact"/>
        <w:jc w:val="center"/>
        <w:outlineLvl w:val="1"/>
        <w:rPr>
          <w:rFonts w:ascii="宋体" w:hAnsi="宋体"/>
          <w:b/>
          <w:sz w:val="32"/>
          <w:szCs w:val="32"/>
          <w:highlight w:val="none"/>
        </w:rPr>
      </w:pPr>
      <w:bookmarkStart w:id="464" w:name="_Toc50654840"/>
      <w:r>
        <w:rPr>
          <w:rFonts w:hint="eastAsia" w:ascii="宋体" w:hAnsi="宋体"/>
          <w:b/>
          <w:sz w:val="32"/>
          <w:szCs w:val="32"/>
          <w:highlight w:val="none"/>
        </w:rPr>
        <w:t>谈 判 报 价 函</w:t>
      </w:r>
      <w:bookmarkEnd w:id="464"/>
    </w:p>
    <w:p>
      <w:pPr>
        <w:spacing w:before="100" w:beforeAutospacing="1"/>
        <w:ind w:firstLine="420"/>
        <w:rPr>
          <w:rFonts w:ascii="宋体" w:hAnsi="宋体"/>
          <w:b/>
          <w:sz w:val="24"/>
          <w:highlight w:val="none"/>
        </w:rPr>
      </w:pPr>
      <w:r>
        <w:rPr>
          <w:rFonts w:hint="eastAsia" w:ascii="宋体" w:hAnsi="宋体"/>
          <w:sz w:val="24"/>
          <w:highlight w:val="none"/>
        </w:rPr>
        <w:t xml:space="preserve">                              </w:t>
      </w:r>
      <w:r>
        <w:rPr>
          <w:rFonts w:hint="eastAsia" w:ascii="宋体" w:hAnsi="宋体"/>
          <w:b/>
          <w:sz w:val="24"/>
          <w:highlight w:val="none"/>
        </w:rPr>
        <w:t>(第二次)</w:t>
      </w:r>
    </w:p>
    <w:tbl>
      <w:tblPr>
        <w:tblStyle w:val="42"/>
        <w:tblW w:w="885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5" w:hRule="atLeast"/>
        </w:trPr>
        <w:tc>
          <w:tcPr>
            <w:tcW w:w="2165" w:type="dxa"/>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项目名称</w:t>
            </w:r>
          </w:p>
        </w:tc>
        <w:tc>
          <w:tcPr>
            <w:tcW w:w="6687" w:type="dxa"/>
            <w:vAlign w:val="center"/>
          </w:tcPr>
          <w:p>
            <w:pPr>
              <w:rPr>
                <w:rFonts w:ascii="宋体" w:hAnsi="宋体" w:cs="宋体"/>
                <w:kern w:val="0"/>
                <w:sz w:val="24"/>
                <w:highlight w:val="none"/>
              </w:rPr>
            </w:pPr>
            <w:r>
              <w:rPr>
                <w:rFonts w:hint="eastAsia" w:ascii="宋体" w:hAnsi="宋体" w:cs="宋体"/>
                <w:szCs w:val="21"/>
                <w:highlight w:val="none"/>
              </w:rPr>
              <w:t>G4216线屏山新市至金阳段、</w:t>
            </w:r>
            <w:r>
              <w:rPr>
                <w:rFonts w:ascii="宋体" w:hAnsi="宋体" w:cs="宋体"/>
                <w:szCs w:val="21"/>
                <w:highlight w:val="none"/>
              </w:rPr>
              <w:t>金阳至宁南段</w:t>
            </w:r>
            <w:r>
              <w:rPr>
                <w:rFonts w:hint="eastAsia" w:ascii="宋体" w:hAnsi="宋体" w:cs="宋体"/>
                <w:szCs w:val="21"/>
                <w:highlight w:val="none"/>
              </w:rPr>
              <w:t>高速公路项目2021～</w:t>
            </w:r>
            <w:r>
              <w:rPr>
                <w:rFonts w:ascii="宋体" w:hAnsi="宋体" w:cs="宋体"/>
                <w:szCs w:val="21"/>
                <w:highlight w:val="none"/>
              </w:rPr>
              <w:t>2022</w:t>
            </w:r>
            <w:r>
              <w:rPr>
                <w:rFonts w:hint="eastAsia" w:ascii="宋体" w:hAnsi="宋体" w:cs="宋体"/>
                <w:szCs w:val="21"/>
                <w:highlight w:val="none"/>
              </w:rPr>
              <w:t>年度钢材船舶运输服务（第三次）招标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65" w:type="dxa"/>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标段号</w:t>
            </w:r>
          </w:p>
        </w:tc>
        <w:tc>
          <w:tcPr>
            <w:tcW w:w="6687" w:type="dxa"/>
            <w:vAlign w:val="center"/>
          </w:tcPr>
          <w:p>
            <w:pPr>
              <w:widowControl/>
              <w:spacing w:line="360" w:lineRule="auto"/>
              <w:rPr>
                <w:rFonts w:ascii="宋体" w:hAnsi="宋体" w:cs="宋体"/>
                <w:kern w:val="0"/>
                <w:sz w:val="24"/>
                <w:highlight w:val="none"/>
              </w:rPr>
            </w:pPr>
            <w:r>
              <w:rPr>
                <w:rFonts w:hint="eastAsia" w:ascii="宋体" w:hAnsi="宋体" w:cs="宋体"/>
                <w:kern w:val="0"/>
                <w:sz w:val="24"/>
                <w:highlight w:val="none"/>
              </w:rPr>
              <w:t>GCYS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2165" w:type="dxa"/>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投标</w:t>
            </w:r>
            <w:r>
              <w:rPr>
                <w:rFonts w:ascii="宋体" w:hAnsi="宋体" w:cs="宋体"/>
                <w:kern w:val="0"/>
                <w:sz w:val="24"/>
                <w:highlight w:val="none"/>
              </w:rPr>
              <w:t>总</w:t>
            </w:r>
            <w:r>
              <w:rPr>
                <w:rFonts w:hint="eastAsia" w:ascii="宋体" w:hAnsi="宋体" w:cs="宋体"/>
                <w:kern w:val="0"/>
                <w:sz w:val="24"/>
                <w:highlight w:val="none"/>
              </w:rPr>
              <w:t>报价</w:t>
            </w:r>
          </w:p>
        </w:tc>
        <w:tc>
          <w:tcPr>
            <w:tcW w:w="6687" w:type="dxa"/>
            <w:vAlign w:val="center"/>
          </w:tcPr>
          <w:p>
            <w:pPr>
              <w:widowControl/>
              <w:spacing w:line="360" w:lineRule="auto"/>
              <w:rPr>
                <w:rFonts w:ascii="宋体" w:hAnsi="宋体"/>
                <w:b/>
                <w:sz w:val="24"/>
                <w:highlight w:val="none"/>
              </w:rPr>
            </w:pPr>
            <w:r>
              <w:rPr>
                <w:rFonts w:hint="eastAsia" w:ascii="宋体" w:hAnsi="宋体"/>
                <w:b/>
                <w:sz w:val="24"/>
                <w:highlight w:val="none"/>
              </w:rPr>
              <w:t>人民币大写：</w:t>
            </w:r>
            <w:r>
              <w:rPr>
                <w:rFonts w:ascii="宋体" w:hAnsi="宋体"/>
                <w:b/>
                <w:sz w:val="24"/>
                <w:highlight w:val="none"/>
                <w:u w:val="single"/>
              </w:rPr>
              <w:t xml:space="preserve">            </w:t>
            </w:r>
            <w:r>
              <w:rPr>
                <w:rFonts w:hint="eastAsia" w:ascii="宋体" w:hAnsi="宋体"/>
                <w:b/>
                <w:sz w:val="24"/>
                <w:highlight w:val="none"/>
              </w:rPr>
              <w:t>万元</w:t>
            </w:r>
          </w:p>
          <w:p>
            <w:pPr>
              <w:widowControl/>
              <w:spacing w:line="360" w:lineRule="auto"/>
              <w:rPr>
                <w:rFonts w:ascii="宋体" w:hAnsi="宋体" w:cs="宋体"/>
                <w:kern w:val="0"/>
                <w:sz w:val="24"/>
                <w:highlight w:val="none"/>
              </w:rPr>
            </w:pPr>
            <w:r>
              <w:rPr>
                <w:rFonts w:hint="eastAsia" w:ascii="宋体" w:hAnsi="宋体"/>
                <w:b/>
                <w:sz w:val="24"/>
                <w:highlight w:val="none"/>
              </w:rPr>
              <w:t>（人民币小写：</w:t>
            </w:r>
            <w:r>
              <w:rPr>
                <w:rFonts w:ascii="宋体" w:hAnsi="宋体"/>
                <w:b/>
                <w:sz w:val="24"/>
                <w:highlight w:val="none"/>
                <w:u w:val="single"/>
              </w:rPr>
              <w:t xml:space="preserve">      </w:t>
            </w:r>
            <w:r>
              <w:rPr>
                <w:rFonts w:hint="eastAsia" w:ascii="宋体" w:hAnsi="宋体"/>
                <w:b/>
                <w:sz w:val="24"/>
                <w:highlight w:val="none"/>
              </w:rPr>
              <w:t>万元）</w:t>
            </w:r>
          </w:p>
        </w:tc>
      </w:tr>
    </w:tbl>
    <w:p>
      <w:pPr>
        <w:spacing w:line="400" w:lineRule="exact"/>
        <w:ind w:firstLine="960" w:firstLineChars="400"/>
        <w:rPr>
          <w:rFonts w:ascii="宋体" w:hAnsi="宋体"/>
          <w:sz w:val="24"/>
          <w:szCs w:val="24"/>
          <w:highlight w:val="none"/>
        </w:rPr>
      </w:pPr>
    </w:p>
    <w:p>
      <w:pPr>
        <w:spacing w:line="400" w:lineRule="exact"/>
        <w:ind w:firstLine="480" w:firstLineChars="200"/>
        <w:rPr>
          <w:rFonts w:ascii="宋体" w:hAnsi="宋体"/>
          <w:sz w:val="24"/>
          <w:highlight w:val="none"/>
        </w:rPr>
      </w:pPr>
      <w:r>
        <w:rPr>
          <w:rFonts w:hint="eastAsia" w:ascii="宋体" w:hAnsi="宋体"/>
          <w:sz w:val="24"/>
          <w:highlight w:val="none"/>
        </w:rPr>
        <w:t xml:space="preserve">  </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w:t>
      </w:r>
    </w:p>
    <w:p>
      <w:pPr>
        <w:spacing w:line="400" w:lineRule="exact"/>
        <w:ind w:firstLine="420" w:firstLineChars="200"/>
        <w:rPr>
          <w:rFonts w:ascii="宋体" w:hAnsi="宋体"/>
          <w:szCs w:val="21"/>
          <w:highlight w:val="none"/>
          <w:u w:val="single"/>
        </w:rPr>
      </w:pPr>
      <w:r>
        <w:rPr>
          <w:rFonts w:hint="eastAsia" w:ascii="宋体" w:hAnsi="宋体"/>
          <w:szCs w:val="21"/>
          <w:highlight w:val="none"/>
        </w:rPr>
        <w:t xml:space="preserve">  投标人名称：</w:t>
      </w:r>
      <w:r>
        <w:rPr>
          <w:rFonts w:hint="eastAsia" w:ascii="宋体" w:hAnsi="宋体"/>
          <w:szCs w:val="21"/>
          <w:highlight w:val="none"/>
          <w:u w:val="single"/>
        </w:rPr>
        <w:t xml:space="preserve">           </w:t>
      </w:r>
      <w:r>
        <w:rPr>
          <w:rFonts w:hint="eastAsia" w:ascii="宋体" w:hAnsi="宋体"/>
          <w:szCs w:val="21"/>
          <w:highlight w:val="none"/>
        </w:rPr>
        <w:t>（盖章）   或</w:t>
      </w:r>
    </w:p>
    <w:p>
      <w:pPr>
        <w:spacing w:line="400" w:lineRule="exact"/>
        <w:ind w:firstLine="420" w:firstLineChars="200"/>
        <w:rPr>
          <w:rFonts w:ascii="宋体" w:hAnsi="宋体"/>
          <w:szCs w:val="21"/>
          <w:highlight w:val="none"/>
        </w:rPr>
      </w:pPr>
      <w:r>
        <w:rPr>
          <w:rFonts w:hint="eastAsia" w:ascii="宋体" w:hAnsi="宋体"/>
          <w:szCs w:val="21"/>
          <w:highlight w:val="none"/>
        </w:rPr>
        <w:t xml:space="preserve">  法定代表人或授权代理人签字：</w:t>
      </w:r>
    </w:p>
    <w:p>
      <w:pPr>
        <w:spacing w:line="400" w:lineRule="exact"/>
        <w:ind w:firstLine="630" w:firstLineChars="300"/>
        <w:jc w:val="left"/>
        <w:rPr>
          <w:rFonts w:ascii="宋体" w:hAnsi="宋体"/>
          <w:szCs w:val="21"/>
          <w:highlight w:val="none"/>
        </w:rPr>
      </w:pPr>
      <w:r>
        <w:rPr>
          <w:rFonts w:hint="eastAsia" w:ascii="宋体" w:hAnsi="宋体"/>
          <w:szCs w:val="21"/>
          <w:highlight w:val="none"/>
        </w:rPr>
        <w:t>日    期：</w:t>
      </w:r>
    </w:p>
    <w:p>
      <w:pPr>
        <w:spacing w:line="400" w:lineRule="exact"/>
        <w:ind w:firstLine="630" w:firstLineChars="300"/>
        <w:jc w:val="left"/>
        <w:rPr>
          <w:rFonts w:ascii="宋体" w:hAnsi="宋体"/>
          <w:szCs w:val="21"/>
          <w:highlight w:val="none"/>
        </w:rPr>
      </w:pPr>
    </w:p>
    <w:p>
      <w:pPr>
        <w:spacing w:line="400" w:lineRule="exact"/>
        <w:ind w:firstLine="630" w:firstLineChars="300"/>
        <w:jc w:val="left"/>
        <w:rPr>
          <w:rFonts w:ascii="宋体" w:hAnsi="宋体"/>
          <w:szCs w:val="21"/>
          <w:highlight w:val="none"/>
        </w:rPr>
      </w:pPr>
    </w:p>
    <w:p>
      <w:pPr>
        <w:spacing w:line="400" w:lineRule="exact"/>
        <w:ind w:firstLine="630" w:firstLineChars="300"/>
        <w:jc w:val="left"/>
        <w:rPr>
          <w:rFonts w:ascii="宋体" w:hAnsi="宋体"/>
          <w:szCs w:val="21"/>
          <w:highlight w:val="none"/>
        </w:rPr>
      </w:pPr>
      <w:r>
        <w:rPr>
          <w:rFonts w:hint="eastAsia" w:ascii="宋体" w:hAnsi="宋体"/>
          <w:szCs w:val="21"/>
          <w:highlight w:val="none"/>
        </w:rPr>
        <w:t>注：（1）</w:t>
      </w:r>
      <w:r>
        <w:rPr>
          <w:rFonts w:ascii="宋体" w:hAnsi="宋体"/>
          <w:szCs w:val="21"/>
          <w:highlight w:val="none"/>
        </w:rPr>
        <w:t>当投标人</w:t>
      </w:r>
      <w:r>
        <w:rPr>
          <w:rFonts w:hint="eastAsia" w:ascii="宋体" w:hAnsi="宋体"/>
          <w:szCs w:val="21"/>
          <w:highlight w:val="none"/>
        </w:rPr>
        <w:t>按照</w:t>
      </w:r>
      <w:r>
        <w:rPr>
          <w:rFonts w:ascii="宋体" w:hAnsi="宋体"/>
          <w:szCs w:val="21"/>
          <w:highlight w:val="none"/>
        </w:rPr>
        <w:t>谈判须知要求进行第二轮或</w:t>
      </w:r>
      <w:r>
        <w:rPr>
          <w:rFonts w:hint="eastAsia" w:ascii="宋体" w:hAnsi="宋体"/>
          <w:szCs w:val="21"/>
          <w:highlight w:val="none"/>
        </w:rPr>
        <w:t>两轮以上（如有）报价时</w:t>
      </w:r>
      <w:r>
        <w:rPr>
          <w:rFonts w:ascii="宋体" w:hAnsi="宋体"/>
          <w:szCs w:val="21"/>
          <w:highlight w:val="none"/>
        </w:rPr>
        <w:t>，</w:t>
      </w:r>
      <w:r>
        <w:rPr>
          <w:rFonts w:hint="eastAsia" w:ascii="宋体" w:hAnsi="宋体"/>
          <w:szCs w:val="21"/>
          <w:highlight w:val="none"/>
        </w:rPr>
        <w:t>采用本格式</w:t>
      </w:r>
      <w:r>
        <w:rPr>
          <w:rFonts w:ascii="宋体" w:hAnsi="宋体"/>
          <w:szCs w:val="21"/>
          <w:highlight w:val="none"/>
        </w:rPr>
        <w:t>报价</w:t>
      </w:r>
      <w:r>
        <w:rPr>
          <w:rFonts w:hint="eastAsia" w:ascii="宋体" w:hAnsi="宋体"/>
          <w:szCs w:val="21"/>
          <w:highlight w:val="none"/>
        </w:rPr>
        <w:t>函进行报价</w:t>
      </w:r>
      <w:r>
        <w:rPr>
          <w:rFonts w:ascii="宋体" w:hAnsi="宋体"/>
          <w:szCs w:val="21"/>
          <w:highlight w:val="none"/>
        </w:rPr>
        <w:t>，并由</w:t>
      </w:r>
      <w:r>
        <w:rPr>
          <w:rFonts w:hint="eastAsia" w:ascii="宋体" w:hAnsi="宋体"/>
          <w:szCs w:val="21"/>
          <w:highlight w:val="none"/>
        </w:rPr>
        <w:t>法定代表人本人或其授权代表签字确认或加盖公章确认</w:t>
      </w:r>
      <w:r>
        <w:rPr>
          <w:rFonts w:ascii="宋体" w:hAnsi="宋体"/>
          <w:szCs w:val="21"/>
          <w:highlight w:val="none"/>
        </w:rPr>
        <w:t>。</w:t>
      </w:r>
    </w:p>
    <w:p>
      <w:pPr>
        <w:spacing w:line="400" w:lineRule="exact"/>
        <w:ind w:firstLine="630" w:firstLineChars="300"/>
        <w:jc w:val="left"/>
        <w:rPr>
          <w:rFonts w:ascii="宋体" w:hAnsi="宋体"/>
          <w:szCs w:val="21"/>
          <w:highlight w:val="none"/>
        </w:rPr>
      </w:pPr>
      <w:r>
        <w:rPr>
          <w:rFonts w:hint="eastAsia" w:ascii="宋体" w:hAnsi="宋体"/>
          <w:szCs w:val="21"/>
          <w:highlight w:val="none"/>
        </w:rPr>
        <w:t>（2）本</w:t>
      </w:r>
      <w:r>
        <w:rPr>
          <w:rFonts w:ascii="宋体" w:hAnsi="宋体"/>
          <w:szCs w:val="21"/>
          <w:highlight w:val="none"/>
        </w:rPr>
        <w:t>谈判报价</w:t>
      </w:r>
      <w:r>
        <w:rPr>
          <w:rFonts w:hint="eastAsia" w:ascii="宋体" w:hAnsi="宋体"/>
          <w:szCs w:val="21"/>
          <w:highlight w:val="none"/>
        </w:rPr>
        <w:t>函</w:t>
      </w:r>
      <w:r>
        <w:rPr>
          <w:rFonts w:ascii="宋体" w:hAnsi="宋体"/>
          <w:szCs w:val="21"/>
          <w:highlight w:val="none"/>
        </w:rPr>
        <w:t>仅是对</w:t>
      </w:r>
      <w:r>
        <w:rPr>
          <w:rFonts w:hint="eastAsia" w:ascii="宋体" w:hAnsi="宋体"/>
          <w:szCs w:val="21"/>
          <w:highlight w:val="none"/>
        </w:rPr>
        <w:t>投标人</w:t>
      </w:r>
      <w:r>
        <w:rPr>
          <w:rFonts w:ascii="宋体" w:hAnsi="宋体"/>
          <w:szCs w:val="21"/>
          <w:highlight w:val="none"/>
        </w:rPr>
        <w:t>响应</w:t>
      </w:r>
      <w:r>
        <w:rPr>
          <w:rFonts w:hint="eastAsia" w:ascii="宋体" w:hAnsi="宋体"/>
          <w:szCs w:val="21"/>
          <w:highlight w:val="none"/>
        </w:rPr>
        <w:t>文件</w:t>
      </w:r>
      <w:r>
        <w:rPr>
          <w:rFonts w:ascii="宋体" w:hAnsi="宋体"/>
          <w:szCs w:val="21"/>
          <w:highlight w:val="none"/>
        </w:rPr>
        <w:t>中</w:t>
      </w:r>
      <w:r>
        <w:rPr>
          <w:rFonts w:hint="eastAsia" w:ascii="宋体" w:hAnsi="宋体"/>
          <w:szCs w:val="21"/>
          <w:highlight w:val="none"/>
        </w:rPr>
        <w:t>谈判函报价的新的谈判</w:t>
      </w:r>
      <w:r>
        <w:rPr>
          <w:rFonts w:ascii="宋体" w:hAnsi="宋体"/>
          <w:szCs w:val="21"/>
          <w:highlight w:val="none"/>
        </w:rPr>
        <w:t>报价</w:t>
      </w:r>
      <w:r>
        <w:rPr>
          <w:rFonts w:hint="eastAsia" w:ascii="宋体" w:hAnsi="宋体"/>
          <w:szCs w:val="21"/>
          <w:highlight w:val="none"/>
        </w:rPr>
        <w:t>，</w:t>
      </w:r>
      <w:r>
        <w:rPr>
          <w:rFonts w:ascii="宋体" w:hAnsi="宋体"/>
          <w:szCs w:val="21"/>
          <w:highlight w:val="none"/>
        </w:rPr>
        <w:t>其余内容均响应原谈判函</w:t>
      </w:r>
      <w:r>
        <w:rPr>
          <w:rFonts w:hint="eastAsia" w:ascii="宋体" w:hAnsi="宋体"/>
          <w:szCs w:val="21"/>
          <w:highlight w:val="none"/>
        </w:rPr>
        <w:t>。</w:t>
      </w:r>
    </w:p>
    <w:p>
      <w:pPr>
        <w:spacing w:line="400" w:lineRule="exact"/>
        <w:ind w:firstLine="630" w:firstLineChars="300"/>
        <w:jc w:val="left"/>
        <w:rPr>
          <w:rFonts w:ascii="宋体" w:hAnsi="宋体"/>
          <w:szCs w:val="21"/>
          <w:highlight w:val="none"/>
        </w:rPr>
      </w:pPr>
    </w:p>
    <w:p>
      <w:pPr>
        <w:spacing w:line="400" w:lineRule="exact"/>
        <w:ind w:firstLine="630" w:firstLineChars="300"/>
        <w:jc w:val="left"/>
        <w:rPr>
          <w:rFonts w:ascii="宋体" w:hAnsi="宋体"/>
          <w:szCs w:val="21"/>
          <w:highlight w:val="none"/>
        </w:rPr>
      </w:pPr>
    </w:p>
    <w:p>
      <w:pPr>
        <w:spacing w:line="400" w:lineRule="exact"/>
        <w:ind w:firstLine="630" w:firstLineChars="300"/>
        <w:jc w:val="left"/>
        <w:rPr>
          <w:rFonts w:ascii="宋体" w:hAnsi="宋体"/>
          <w:szCs w:val="21"/>
          <w:highlight w:val="none"/>
        </w:rPr>
      </w:pPr>
    </w:p>
    <w:p>
      <w:pPr>
        <w:pStyle w:val="3"/>
        <w:spacing w:line="360" w:lineRule="exact"/>
        <w:jc w:val="center"/>
        <w:rPr>
          <w:rFonts w:ascii="宋体" w:hAnsi="宋体" w:eastAsia="宋体"/>
          <w:color w:val="000000"/>
          <w:sz w:val="24"/>
          <w:highlight w:val="none"/>
        </w:rPr>
      </w:pPr>
    </w:p>
    <w:p>
      <w:pPr>
        <w:pStyle w:val="3"/>
        <w:spacing w:line="360" w:lineRule="exact"/>
        <w:jc w:val="center"/>
        <w:rPr>
          <w:rFonts w:ascii="宋体" w:hAnsi="宋体" w:eastAsia="宋体"/>
          <w:color w:val="000000"/>
          <w:sz w:val="36"/>
          <w:highlight w:val="none"/>
        </w:rPr>
      </w:pPr>
      <w:r>
        <w:rPr>
          <w:rFonts w:ascii="宋体" w:hAnsi="宋体" w:eastAsia="宋体"/>
          <w:color w:val="000000"/>
          <w:sz w:val="36"/>
          <w:highlight w:val="none"/>
        </w:rPr>
        <w:br w:type="page"/>
      </w:r>
      <w:bookmarkStart w:id="465" w:name="_Toc50654841"/>
      <w:r>
        <w:rPr>
          <w:rFonts w:hint="eastAsia" w:ascii="宋体" w:hAnsi="宋体" w:eastAsia="宋体"/>
          <w:color w:val="000000"/>
          <w:sz w:val="36"/>
          <w:highlight w:val="none"/>
        </w:rPr>
        <w:t>第三章 船舶运输服务要求</w:t>
      </w:r>
      <w:bookmarkEnd w:id="465"/>
    </w:p>
    <w:p>
      <w:pPr>
        <w:spacing w:line="480" w:lineRule="auto"/>
        <w:ind w:left="105" w:leftChars="50" w:firstLine="315" w:firstLineChars="150"/>
        <w:rPr>
          <w:rFonts w:ascii="宋体" w:hAnsi="宋体"/>
          <w:color w:val="000000"/>
          <w:szCs w:val="21"/>
          <w:highlight w:val="none"/>
        </w:rPr>
      </w:pPr>
    </w:p>
    <w:p>
      <w:pPr>
        <w:adjustRightInd w:val="0"/>
        <w:snapToGrid w:val="0"/>
        <w:spacing w:line="360" w:lineRule="auto"/>
        <w:rPr>
          <w:rFonts w:ascii="宋体" w:hAnsi="宋体" w:cs="宋体"/>
          <w:b/>
          <w:kern w:val="0"/>
          <w:szCs w:val="21"/>
          <w:highlight w:val="none"/>
        </w:rPr>
      </w:pPr>
      <w:r>
        <w:rPr>
          <w:rFonts w:hint="eastAsia" w:ascii="宋体" w:hAnsi="宋体" w:cs="宋体"/>
          <w:b/>
          <w:kern w:val="0"/>
          <w:szCs w:val="21"/>
          <w:highlight w:val="none"/>
        </w:rPr>
        <w:t>（一）现场服务</w:t>
      </w:r>
    </w:p>
    <w:p>
      <w:pPr>
        <w:adjustRightInd w:val="0"/>
        <w:snapToGrid w:val="0"/>
        <w:spacing w:line="360" w:lineRule="auto"/>
        <w:ind w:left="105" w:leftChars="50" w:firstLine="420" w:firstLineChars="200"/>
        <w:rPr>
          <w:rFonts w:ascii="宋体" w:hAnsi="宋体" w:cs="宋体"/>
          <w:kern w:val="0"/>
          <w:szCs w:val="21"/>
          <w:highlight w:val="none"/>
        </w:rPr>
      </w:pPr>
      <w:r>
        <w:rPr>
          <w:rFonts w:hint="eastAsia" w:ascii="宋体" w:hAnsi="宋体" w:cs="宋体"/>
          <w:kern w:val="0"/>
          <w:szCs w:val="21"/>
          <w:highlight w:val="none"/>
        </w:rPr>
        <w:t>为</w:t>
      </w:r>
      <w:r>
        <w:rPr>
          <w:rFonts w:ascii="宋体" w:hAnsi="宋体" w:cs="宋体"/>
          <w:kern w:val="0"/>
          <w:szCs w:val="21"/>
          <w:highlight w:val="none"/>
        </w:rPr>
        <w:t>使合同适时、全面地得到履行，承运商在合同的实施过程</w:t>
      </w:r>
      <w:r>
        <w:rPr>
          <w:rFonts w:hint="eastAsia" w:ascii="宋体" w:hAnsi="宋体" w:cs="宋体"/>
          <w:kern w:val="0"/>
          <w:szCs w:val="21"/>
          <w:highlight w:val="none"/>
        </w:rPr>
        <w:t>中</w:t>
      </w:r>
      <w:r>
        <w:rPr>
          <w:rFonts w:ascii="宋体" w:hAnsi="宋体" w:cs="宋体"/>
          <w:kern w:val="0"/>
          <w:szCs w:val="21"/>
          <w:highlight w:val="none"/>
        </w:rPr>
        <w:t>，应授权或委派常驻</w:t>
      </w:r>
      <w:r>
        <w:rPr>
          <w:rFonts w:hint="eastAsia" w:ascii="宋体" w:hAnsi="宋体" w:cs="宋体"/>
          <w:kern w:val="0"/>
          <w:szCs w:val="21"/>
          <w:highlight w:val="none"/>
        </w:rPr>
        <w:t>交货</w:t>
      </w:r>
      <w:r>
        <w:rPr>
          <w:rFonts w:ascii="宋体" w:hAnsi="宋体" w:cs="宋体"/>
          <w:kern w:val="0"/>
          <w:szCs w:val="21"/>
          <w:highlight w:val="none"/>
        </w:rPr>
        <w:t>现场的项目经理，全权处理实施本合同中的所有事务与对外联系，接受并负责执行采购人发出的指示</w:t>
      </w:r>
      <w:r>
        <w:rPr>
          <w:rFonts w:hint="eastAsia" w:ascii="宋体" w:hAnsi="宋体" w:cs="宋体"/>
          <w:kern w:val="0"/>
          <w:szCs w:val="21"/>
          <w:highlight w:val="none"/>
        </w:rPr>
        <w:t>、</w:t>
      </w:r>
      <w:r>
        <w:rPr>
          <w:rFonts w:ascii="宋体" w:hAnsi="宋体" w:cs="宋体"/>
          <w:kern w:val="0"/>
          <w:szCs w:val="21"/>
          <w:highlight w:val="none"/>
        </w:rPr>
        <w:t>指令和通知。项目经理</w:t>
      </w:r>
      <w:r>
        <w:rPr>
          <w:rFonts w:hint="eastAsia" w:ascii="宋体" w:hAnsi="宋体" w:cs="宋体"/>
          <w:kern w:val="0"/>
          <w:szCs w:val="21"/>
          <w:highlight w:val="none"/>
        </w:rPr>
        <w:t>应为固定</w:t>
      </w:r>
      <w:r>
        <w:rPr>
          <w:rFonts w:ascii="宋体" w:hAnsi="宋体" w:cs="宋体"/>
          <w:kern w:val="0"/>
          <w:szCs w:val="21"/>
          <w:highlight w:val="none"/>
        </w:rPr>
        <w:t>，若确需特殊情况需要</w:t>
      </w:r>
      <w:r>
        <w:rPr>
          <w:rFonts w:hint="eastAsia" w:ascii="宋体" w:hAnsi="宋体" w:cs="宋体"/>
          <w:kern w:val="0"/>
          <w:szCs w:val="21"/>
          <w:highlight w:val="none"/>
        </w:rPr>
        <w:t>更换</w:t>
      </w:r>
      <w:r>
        <w:rPr>
          <w:rFonts w:ascii="宋体" w:hAnsi="宋体" w:cs="宋体"/>
          <w:kern w:val="0"/>
          <w:szCs w:val="21"/>
          <w:highlight w:val="none"/>
        </w:rPr>
        <w:t>时</w:t>
      </w:r>
      <w:r>
        <w:rPr>
          <w:rFonts w:hint="eastAsia" w:ascii="宋体" w:hAnsi="宋体" w:cs="宋体"/>
          <w:kern w:val="0"/>
          <w:szCs w:val="21"/>
          <w:highlight w:val="none"/>
        </w:rPr>
        <w:t>，</w:t>
      </w:r>
      <w:r>
        <w:rPr>
          <w:rFonts w:ascii="宋体" w:hAnsi="宋体" w:cs="宋体"/>
          <w:kern w:val="0"/>
          <w:szCs w:val="21"/>
          <w:highlight w:val="none"/>
        </w:rPr>
        <w:t>应先于采购人协商并征得采购人的同意。</w:t>
      </w:r>
      <w:r>
        <w:rPr>
          <w:rFonts w:hint="eastAsia" w:ascii="宋体" w:hAnsi="宋体" w:cs="宋体"/>
          <w:kern w:val="0"/>
          <w:szCs w:val="21"/>
          <w:highlight w:val="none"/>
        </w:rPr>
        <w:t>如果采购人</w:t>
      </w:r>
      <w:r>
        <w:rPr>
          <w:rFonts w:ascii="宋体" w:hAnsi="宋体" w:cs="宋体"/>
          <w:kern w:val="0"/>
          <w:szCs w:val="21"/>
          <w:highlight w:val="none"/>
        </w:rPr>
        <w:t>认为承运商项目经理</w:t>
      </w:r>
      <w:r>
        <w:rPr>
          <w:rFonts w:hint="eastAsia" w:ascii="宋体" w:hAnsi="宋体" w:cs="宋体"/>
          <w:kern w:val="0"/>
          <w:szCs w:val="21"/>
          <w:highlight w:val="none"/>
        </w:rPr>
        <w:t>或更换的</w:t>
      </w:r>
      <w:r>
        <w:rPr>
          <w:rFonts w:ascii="宋体" w:hAnsi="宋体" w:cs="宋体"/>
          <w:kern w:val="0"/>
          <w:szCs w:val="21"/>
          <w:highlight w:val="none"/>
        </w:rPr>
        <w:t>项目经理不能胜任本合同的职责，则采购人有权要求</w:t>
      </w:r>
      <w:r>
        <w:rPr>
          <w:rFonts w:hint="eastAsia" w:ascii="宋体" w:hAnsi="宋体" w:cs="宋体"/>
          <w:kern w:val="0"/>
          <w:szCs w:val="21"/>
          <w:highlight w:val="none"/>
        </w:rPr>
        <w:t>承运商</w:t>
      </w:r>
      <w:r>
        <w:rPr>
          <w:rFonts w:ascii="宋体" w:hAnsi="宋体" w:cs="宋体"/>
          <w:kern w:val="0"/>
          <w:szCs w:val="21"/>
          <w:highlight w:val="none"/>
        </w:rPr>
        <w:t>作必要的更换至采购人满意为止。除了</w:t>
      </w:r>
      <w:r>
        <w:rPr>
          <w:rFonts w:hint="eastAsia" w:ascii="宋体" w:hAnsi="宋体" w:cs="宋体"/>
          <w:kern w:val="0"/>
          <w:szCs w:val="21"/>
          <w:highlight w:val="none"/>
        </w:rPr>
        <w:t>提供合同</w:t>
      </w:r>
      <w:r>
        <w:rPr>
          <w:rFonts w:ascii="宋体" w:hAnsi="宋体" w:cs="宋体"/>
          <w:kern w:val="0"/>
          <w:szCs w:val="21"/>
          <w:highlight w:val="none"/>
        </w:rPr>
        <w:t>规定的</w:t>
      </w:r>
      <w:r>
        <w:rPr>
          <w:rFonts w:hint="eastAsia" w:ascii="宋体" w:hAnsi="宋体" w:cs="宋体"/>
          <w:kern w:val="0"/>
          <w:szCs w:val="21"/>
          <w:highlight w:val="none"/>
        </w:rPr>
        <w:t>运输服务</w:t>
      </w:r>
      <w:r>
        <w:rPr>
          <w:rFonts w:ascii="宋体" w:hAnsi="宋体" w:cs="宋体"/>
          <w:kern w:val="0"/>
          <w:szCs w:val="21"/>
          <w:highlight w:val="none"/>
        </w:rPr>
        <w:t>之外，承运商还应</w:t>
      </w:r>
      <w:r>
        <w:rPr>
          <w:rFonts w:hint="eastAsia" w:ascii="宋体" w:hAnsi="宋体" w:cs="宋体"/>
          <w:kern w:val="0"/>
          <w:szCs w:val="21"/>
          <w:highlight w:val="none"/>
        </w:rPr>
        <w:t>满足</w:t>
      </w:r>
      <w:r>
        <w:rPr>
          <w:rFonts w:ascii="宋体" w:hAnsi="宋体" w:cs="宋体"/>
          <w:kern w:val="0"/>
          <w:szCs w:val="21"/>
          <w:highlight w:val="none"/>
        </w:rPr>
        <w:t>以下事宜</w:t>
      </w:r>
      <w:r>
        <w:rPr>
          <w:rFonts w:hint="eastAsia" w:ascii="宋体" w:hAnsi="宋体" w:cs="宋体"/>
          <w:kern w:val="0"/>
          <w:szCs w:val="21"/>
          <w:highlight w:val="none"/>
        </w:rPr>
        <w:t>：</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1）承运商委派的项目经理应保证每天24小时留守或者其手机24小时处于开机状态；</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2）及时向采购人通报</w:t>
      </w:r>
      <w:r>
        <w:rPr>
          <w:rFonts w:hint="eastAsia" w:ascii="宋体" w:hAnsi="宋体" w:cs="宋体"/>
          <w:kern w:val="0"/>
          <w:szCs w:val="21"/>
          <w:highlight w:val="none"/>
        </w:rPr>
        <w:t>货物</w:t>
      </w:r>
      <w:r>
        <w:rPr>
          <w:rFonts w:ascii="宋体" w:hAnsi="宋体" w:cs="宋体"/>
          <w:kern w:val="0"/>
          <w:szCs w:val="21"/>
          <w:highlight w:val="none"/>
        </w:rPr>
        <w:t>装运</w:t>
      </w:r>
      <w:r>
        <w:rPr>
          <w:rFonts w:hint="eastAsia" w:ascii="宋体" w:hAnsi="宋体" w:cs="宋体"/>
          <w:kern w:val="0"/>
          <w:szCs w:val="21"/>
          <w:highlight w:val="none"/>
        </w:rPr>
        <w:t>及</w:t>
      </w:r>
      <w:r>
        <w:rPr>
          <w:rFonts w:ascii="宋体" w:hAnsi="宋体" w:cs="宋体"/>
          <w:kern w:val="0"/>
          <w:szCs w:val="21"/>
          <w:highlight w:val="none"/>
        </w:rPr>
        <w:t>在途情况；</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3）为使采购人完成合同义务，与采购人进行所有合理的合作；</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）任何品种</w:t>
      </w:r>
      <w:r>
        <w:rPr>
          <w:rFonts w:ascii="宋体" w:hAnsi="宋体" w:cs="宋体"/>
          <w:kern w:val="0"/>
          <w:szCs w:val="21"/>
          <w:highlight w:val="none"/>
        </w:rPr>
        <w:t>、批次的货物一经发现</w:t>
      </w:r>
      <w:r>
        <w:rPr>
          <w:rFonts w:hint="eastAsia" w:ascii="宋体" w:hAnsi="宋体" w:cs="宋体"/>
          <w:kern w:val="0"/>
          <w:szCs w:val="21"/>
          <w:highlight w:val="none"/>
        </w:rPr>
        <w:t>因</w:t>
      </w:r>
      <w:r>
        <w:rPr>
          <w:rFonts w:ascii="宋体" w:hAnsi="宋体" w:cs="宋体"/>
          <w:kern w:val="0"/>
          <w:szCs w:val="21"/>
          <w:highlight w:val="none"/>
        </w:rPr>
        <w:t>承运商原因造成不符合质量标准，承运商应无条件地</w:t>
      </w:r>
      <w:r>
        <w:rPr>
          <w:rFonts w:hint="eastAsia" w:ascii="宋体" w:hAnsi="宋体" w:cs="宋体"/>
          <w:kern w:val="0"/>
          <w:szCs w:val="21"/>
          <w:highlight w:val="none"/>
        </w:rPr>
        <w:t>承担相关</w:t>
      </w:r>
      <w:r>
        <w:rPr>
          <w:rFonts w:ascii="宋体" w:hAnsi="宋体" w:cs="宋体"/>
          <w:kern w:val="0"/>
          <w:szCs w:val="21"/>
          <w:highlight w:val="none"/>
        </w:rPr>
        <w:t>责任。</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5</w:t>
      </w:r>
      <w:r>
        <w:rPr>
          <w:rFonts w:hint="eastAsia" w:ascii="宋体" w:hAnsi="宋体" w:cs="宋体"/>
          <w:kern w:val="0"/>
          <w:szCs w:val="21"/>
          <w:highlight w:val="none"/>
        </w:rPr>
        <w:t>）现场服务的</w:t>
      </w:r>
      <w:r>
        <w:rPr>
          <w:rFonts w:ascii="宋体" w:hAnsi="宋体" w:cs="宋体"/>
          <w:kern w:val="0"/>
          <w:szCs w:val="21"/>
          <w:highlight w:val="none"/>
        </w:rPr>
        <w:t>费用包含</w:t>
      </w:r>
      <w:r>
        <w:rPr>
          <w:rFonts w:hint="eastAsia" w:ascii="宋体" w:hAnsi="宋体" w:cs="宋体"/>
          <w:kern w:val="0"/>
          <w:szCs w:val="21"/>
          <w:highlight w:val="none"/>
        </w:rPr>
        <w:t>在合同价中</w:t>
      </w:r>
      <w:r>
        <w:rPr>
          <w:rFonts w:ascii="宋体" w:hAnsi="宋体" w:cs="宋体"/>
          <w:kern w:val="0"/>
          <w:szCs w:val="21"/>
          <w:highlight w:val="none"/>
        </w:rPr>
        <w:t>，不单独列支。</w:t>
      </w:r>
    </w:p>
    <w:p>
      <w:pPr>
        <w:adjustRightInd w:val="0"/>
        <w:snapToGrid w:val="0"/>
        <w:spacing w:line="360" w:lineRule="auto"/>
        <w:rPr>
          <w:rFonts w:ascii="宋体" w:hAnsi="宋体" w:cs="宋体"/>
          <w:b/>
          <w:kern w:val="0"/>
          <w:szCs w:val="21"/>
          <w:highlight w:val="none"/>
          <w:lang w:val="zh-CN" w:bidi="zh-CN"/>
        </w:rPr>
      </w:pPr>
      <w:r>
        <w:rPr>
          <w:rFonts w:hint="eastAsia" w:ascii="宋体" w:hAnsi="宋体" w:cs="宋体"/>
          <w:b/>
          <w:kern w:val="0"/>
          <w:szCs w:val="21"/>
          <w:highlight w:val="none"/>
        </w:rPr>
        <w:t>（二）</w:t>
      </w:r>
      <w:r>
        <w:rPr>
          <w:rFonts w:hint="eastAsia" w:ascii="宋体" w:hAnsi="宋体" w:cs="宋体"/>
          <w:b/>
          <w:kern w:val="0"/>
          <w:szCs w:val="21"/>
          <w:highlight w:val="none"/>
          <w:lang w:val="zh-CN" w:bidi="zh-CN"/>
        </w:rPr>
        <w:t>投标物资详细的运输方案</w:t>
      </w:r>
    </w:p>
    <w:p>
      <w:pPr>
        <w:autoSpaceDE w:val="0"/>
        <w:autoSpaceDN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1、投标人应按照合同要求将材料运输交至指定的到货地点。</w:t>
      </w:r>
    </w:p>
    <w:p>
      <w:pPr>
        <w:autoSpaceDE w:val="0"/>
        <w:autoSpaceDN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2、投标人应充分考虑和了解运输线路的地理位置和运输条件，采用合适有效的运输和货物交付方式，制定保证工程所需物资按时、按量运输到场的具体措施。</w:t>
      </w:r>
    </w:p>
    <w:p>
      <w:pPr>
        <w:adjustRightInd w:val="0"/>
        <w:snapToGrid w:val="0"/>
        <w:spacing w:line="360" w:lineRule="auto"/>
        <w:ind w:firstLine="420" w:firstLineChars="200"/>
        <w:rPr>
          <w:rFonts w:ascii="宋体" w:hAnsi="宋体" w:cs="宋体"/>
          <w:kern w:val="0"/>
          <w:szCs w:val="21"/>
          <w:highlight w:val="none"/>
          <w:lang w:val="zh-CN" w:bidi="zh-CN"/>
        </w:rPr>
      </w:pPr>
      <w:r>
        <w:rPr>
          <w:rFonts w:ascii="宋体" w:hAnsi="宋体" w:cs="宋体"/>
          <w:kern w:val="0"/>
          <w:szCs w:val="21"/>
          <w:highlight w:val="none"/>
          <w:lang w:val="zh-CN" w:bidi="zh-CN"/>
        </w:rPr>
        <w:t>3、</w:t>
      </w:r>
      <w:r>
        <w:rPr>
          <w:rFonts w:hint="eastAsia" w:ascii="宋体" w:hAnsi="宋体" w:cs="宋体"/>
          <w:kern w:val="0"/>
          <w:szCs w:val="21"/>
          <w:highlight w:val="none"/>
          <w:lang w:val="zh-CN" w:bidi="zh-CN"/>
        </w:rPr>
        <w:t>要求投标人具有足够的运输保障能力和运输组织能力；投标人须对投标运杂费进行分析，在运输单价内统筹考虑。</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ascii="宋体" w:hAnsi="宋体" w:cs="宋体"/>
          <w:kern w:val="0"/>
          <w:szCs w:val="21"/>
          <w:highlight w:val="none"/>
          <w:lang w:val="zh-CN" w:bidi="zh-CN"/>
        </w:rPr>
        <w:t>4</w:t>
      </w:r>
      <w:r>
        <w:rPr>
          <w:rFonts w:hint="eastAsia" w:ascii="宋体" w:hAnsi="宋体"/>
          <w:szCs w:val="21"/>
          <w:highlight w:val="none"/>
          <w:lang w:val="zh-CN" w:bidi="zh-CN"/>
        </w:rPr>
        <w:t>、船舶</w:t>
      </w:r>
      <w:r>
        <w:rPr>
          <w:rFonts w:ascii="宋体" w:hAnsi="宋体"/>
          <w:szCs w:val="21"/>
          <w:highlight w:val="none"/>
          <w:lang w:val="zh-CN" w:bidi="zh-CN"/>
        </w:rPr>
        <w:t>运输</w:t>
      </w:r>
      <w:r>
        <w:rPr>
          <w:rFonts w:hint="eastAsia" w:ascii="宋体" w:hAnsi="宋体" w:cs="宋体"/>
          <w:kern w:val="0"/>
          <w:szCs w:val="21"/>
          <w:highlight w:val="none"/>
          <w:lang w:val="zh-CN" w:bidi="zh-CN"/>
        </w:rPr>
        <w:t>方式</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（1）承担水路运输的船舶具有《船舶营业运输证》，且在有效期内；承运船舶不得超出</w:t>
      </w:r>
      <w:r>
        <w:rPr>
          <w:rFonts w:hint="eastAsia" w:ascii="&amp;quot" w:hAnsi="&amp;quot" w:cs="宋体"/>
          <w:kern w:val="0"/>
          <w:szCs w:val="21"/>
          <w:highlight w:val="none"/>
        </w:rPr>
        <w:t>核定的经营范围</w:t>
      </w:r>
      <w:r>
        <w:rPr>
          <w:rFonts w:hint="eastAsia" w:ascii="宋体" w:hAnsi="宋体" w:cs="宋体"/>
          <w:kern w:val="0"/>
          <w:szCs w:val="21"/>
          <w:highlight w:val="none"/>
          <w:lang w:val="zh-CN" w:bidi="zh-CN"/>
        </w:rPr>
        <w:t>；运输船舶应安装符合招标人要求</w:t>
      </w:r>
      <w:r>
        <w:rPr>
          <w:rFonts w:ascii="宋体" w:hAnsi="宋体" w:cs="宋体"/>
          <w:kern w:val="0"/>
          <w:szCs w:val="21"/>
          <w:highlight w:val="none"/>
          <w:lang w:val="zh-CN" w:bidi="zh-CN"/>
        </w:rPr>
        <w:t>的GPS</w:t>
      </w:r>
      <w:r>
        <w:rPr>
          <w:rFonts w:hint="eastAsia" w:ascii="宋体" w:hAnsi="宋体" w:cs="宋体"/>
          <w:kern w:val="0"/>
          <w:szCs w:val="21"/>
          <w:highlight w:val="none"/>
          <w:lang w:val="zh-CN" w:bidi="zh-CN"/>
        </w:rPr>
        <w:t>或（自动识别系统（</w:t>
      </w:r>
      <w:r>
        <w:rPr>
          <w:rFonts w:ascii="宋体" w:hAnsi="宋体" w:cs="宋体"/>
          <w:kern w:val="0"/>
          <w:szCs w:val="21"/>
          <w:highlight w:val="none"/>
          <w:lang w:val="zh-CN" w:bidi="zh-CN"/>
        </w:rPr>
        <w:t>AIS）。</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2）运输船舶适航适载：确保船舶证照、保险、手续齐全，满足四川交投物流有限公司对</w:t>
      </w:r>
      <w:r>
        <w:rPr>
          <w:rFonts w:hint="eastAsia" w:ascii="宋体" w:hAnsi="宋体" w:cs="宋体"/>
          <w:kern w:val="0"/>
          <w:szCs w:val="21"/>
          <w:highlight w:val="none"/>
          <w:lang w:val="zh-CN" w:bidi="zh-CN"/>
        </w:rPr>
        <w:t>钢材运输对船舶的装载质量要求，符合水运线路要求、符合目的港停靠要求，严禁超载。</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3）船型配置要求：</w:t>
      </w:r>
      <w:r>
        <w:rPr>
          <w:rFonts w:hint="eastAsia" w:ascii="宋体" w:hAnsi="宋体" w:cs="宋体"/>
          <w:kern w:val="0"/>
          <w:szCs w:val="21"/>
          <w:highlight w:val="none"/>
          <w:lang w:val="zh-CN" w:bidi="zh-CN"/>
        </w:rPr>
        <w:t>船舶必须按照采购人船运规范要求装载，基本要求为船舱有遮盖措施，备足符合要求的垫木。同时配置船舶还应符合通过</w:t>
      </w:r>
      <w:r>
        <w:rPr>
          <w:rFonts w:ascii="宋体" w:hAnsi="宋体" w:cs="宋体"/>
          <w:kern w:val="0"/>
          <w:szCs w:val="21"/>
          <w:highlight w:val="none"/>
          <w:lang w:val="zh-CN" w:bidi="zh-CN"/>
        </w:rPr>
        <w:t>向家坝电站的要求。</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cs="仿宋" w:asciiTheme="minorEastAsia" w:hAnsiTheme="minorEastAsia" w:eastAsiaTheme="minorEastAsia"/>
          <w:szCs w:val="21"/>
          <w:highlight w:val="none"/>
        </w:rPr>
        <w:t>若船型</w:t>
      </w:r>
      <w:r>
        <w:rPr>
          <w:rFonts w:cs="仿宋" w:asciiTheme="minorEastAsia" w:hAnsiTheme="minorEastAsia" w:eastAsiaTheme="minorEastAsia"/>
          <w:szCs w:val="21"/>
          <w:highlight w:val="none"/>
        </w:rPr>
        <w:t>配置</w:t>
      </w:r>
      <w:r>
        <w:rPr>
          <w:rFonts w:hint="eastAsia" w:cs="仿宋" w:asciiTheme="minorEastAsia" w:hAnsiTheme="minorEastAsia" w:eastAsiaTheme="minorEastAsia"/>
          <w:szCs w:val="21"/>
          <w:highlight w:val="none"/>
        </w:rPr>
        <w:t>不符合通过向家坝</w:t>
      </w:r>
      <w:r>
        <w:rPr>
          <w:rFonts w:cs="仿宋" w:asciiTheme="minorEastAsia" w:hAnsiTheme="minorEastAsia" w:eastAsiaTheme="minorEastAsia"/>
          <w:szCs w:val="21"/>
          <w:highlight w:val="none"/>
        </w:rPr>
        <w:t>电站</w:t>
      </w:r>
      <w:r>
        <w:rPr>
          <w:rFonts w:hint="eastAsia" w:cs="仿宋" w:asciiTheme="minorEastAsia" w:hAnsiTheme="minorEastAsia" w:eastAsiaTheme="minorEastAsia"/>
          <w:szCs w:val="21"/>
          <w:highlight w:val="none"/>
        </w:rPr>
        <w:t>升船机</w:t>
      </w:r>
      <w:r>
        <w:rPr>
          <w:rFonts w:cs="仿宋" w:asciiTheme="minorEastAsia" w:hAnsiTheme="minorEastAsia" w:eastAsiaTheme="minorEastAsia"/>
          <w:szCs w:val="21"/>
          <w:highlight w:val="none"/>
        </w:rPr>
        <w:t>要求的或者其他原因不能及时过闸</w:t>
      </w:r>
      <w:r>
        <w:rPr>
          <w:rFonts w:hint="eastAsia" w:cs="仿宋" w:asciiTheme="minorEastAsia" w:hAnsiTheme="minorEastAsia" w:eastAsiaTheme="minorEastAsia"/>
          <w:szCs w:val="21"/>
          <w:highlight w:val="none"/>
        </w:rPr>
        <w:t>，承运商</w:t>
      </w:r>
      <w:r>
        <w:rPr>
          <w:rFonts w:cs="仿宋" w:asciiTheme="minorEastAsia" w:hAnsiTheme="minorEastAsia" w:eastAsiaTheme="minorEastAsia"/>
          <w:szCs w:val="21"/>
          <w:highlight w:val="none"/>
        </w:rPr>
        <w:t>应考虑采用翻坝转运方式及时完成运输任务，且自行承担由此造成的通过翻坝转运系统开展货物转运</w:t>
      </w:r>
      <w:r>
        <w:rPr>
          <w:rFonts w:hint="eastAsia" w:cs="仿宋" w:asciiTheme="minorEastAsia" w:hAnsiTheme="minorEastAsia" w:eastAsiaTheme="minorEastAsia"/>
          <w:szCs w:val="21"/>
          <w:highlight w:val="none"/>
        </w:rPr>
        <w:t>发生的</w:t>
      </w:r>
      <w:r>
        <w:rPr>
          <w:rFonts w:cs="仿宋" w:asciiTheme="minorEastAsia" w:hAnsiTheme="minorEastAsia" w:eastAsiaTheme="minorEastAsia"/>
          <w:szCs w:val="21"/>
          <w:highlight w:val="none"/>
        </w:rPr>
        <w:t>所有费用</w:t>
      </w:r>
      <w:r>
        <w:rPr>
          <w:rFonts w:hint="eastAsia" w:cs="仿宋" w:asciiTheme="minorEastAsia" w:hAnsiTheme="minorEastAsia" w:eastAsiaTheme="minorEastAsia"/>
          <w:szCs w:val="21"/>
          <w:highlight w:val="none"/>
        </w:rPr>
        <w:t>及</w:t>
      </w:r>
      <w:r>
        <w:rPr>
          <w:rFonts w:cs="仿宋" w:asciiTheme="minorEastAsia" w:hAnsiTheme="minorEastAsia" w:eastAsiaTheme="minorEastAsia"/>
          <w:szCs w:val="21"/>
          <w:highlight w:val="none"/>
        </w:rPr>
        <w:t>责任</w:t>
      </w:r>
      <w:r>
        <w:rPr>
          <w:rFonts w:ascii="Arial" w:hAnsi="Arial" w:cs="Arial"/>
          <w:szCs w:val="21"/>
          <w:highlight w:val="none"/>
          <w:shd w:val="clear" w:color="auto" w:fill="F6F2E9"/>
        </w:rPr>
        <w:t>。</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4</w:t>
      </w:r>
      <w:r>
        <w:rPr>
          <w:rFonts w:hint="eastAsia" w:ascii="宋体" w:hAnsi="宋体" w:cs="宋体"/>
          <w:kern w:val="0"/>
          <w:szCs w:val="21"/>
          <w:highlight w:val="none"/>
          <w:lang w:val="zh-CN" w:bidi="zh-CN"/>
        </w:rPr>
        <w:t>）承运商船员应具有运输货物的从业资历；</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5</w:t>
      </w:r>
      <w:r>
        <w:rPr>
          <w:rFonts w:hint="eastAsia" w:ascii="宋体" w:hAnsi="宋体" w:cs="宋体"/>
          <w:kern w:val="0"/>
          <w:szCs w:val="21"/>
          <w:highlight w:val="none"/>
          <w:lang w:val="zh-CN" w:bidi="zh-CN"/>
        </w:rPr>
        <w:t>）中标</w:t>
      </w:r>
      <w:r>
        <w:rPr>
          <w:rFonts w:ascii="宋体" w:hAnsi="宋体" w:cs="宋体"/>
          <w:kern w:val="0"/>
          <w:szCs w:val="21"/>
          <w:highlight w:val="none"/>
          <w:lang w:val="zh-CN" w:bidi="zh-CN"/>
        </w:rPr>
        <w:t>后</w:t>
      </w: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在</w:t>
      </w:r>
      <w:r>
        <w:rPr>
          <w:rFonts w:hint="eastAsia" w:ascii="宋体" w:hAnsi="宋体" w:cs="宋体"/>
          <w:kern w:val="0"/>
          <w:szCs w:val="21"/>
          <w:highlight w:val="none"/>
          <w:lang w:val="zh-CN" w:bidi="zh-CN"/>
        </w:rPr>
        <w:t>签订合同</w:t>
      </w:r>
      <w:r>
        <w:rPr>
          <w:rFonts w:ascii="宋体" w:hAnsi="宋体" w:cs="宋体"/>
          <w:kern w:val="0"/>
          <w:szCs w:val="21"/>
          <w:highlight w:val="none"/>
          <w:lang w:val="zh-CN" w:bidi="zh-CN"/>
        </w:rPr>
        <w:t>时，</w:t>
      </w:r>
      <w:r>
        <w:rPr>
          <w:rFonts w:hint="eastAsia" w:ascii="宋体" w:hAnsi="宋体" w:cs="宋体"/>
          <w:kern w:val="0"/>
          <w:szCs w:val="21"/>
          <w:highlight w:val="none"/>
          <w:lang w:val="zh-CN" w:bidi="zh-CN"/>
        </w:rPr>
        <w:t>中标人应提供初步拟用运输船舶、船员的上述</w:t>
      </w:r>
      <w:r>
        <w:rPr>
          <w:rFonts w:ascii="宋体" w:hAnsi="宋体" w:cs="宋体"/>
          <w:kern w:val="0"/>
          <w:szCs w:val="21"/>
          <w:highlight w:val="none"/>
          <w:lang w:val="zh-CN" w:bidi="zh-CN"/>
        </w:rPr>
        <w:t>证照</w:t>
      </w: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证明</w:t>
      </w:r>
      <w:r>
        <w:rPr>
          <w:rFonts w:hint="eastAsia" w:ascii="宋体" w:hAnsi="宋体" w:cs="宋体"/>
          <w:kern w:val="0"/>
          <w:szCs w:val="21"/>
          <w:highlight w:val="none"/>
          <w:lang w:val="zh-CN" w:bidi="zh-CN"/>
        </w:rPr>
        <w:t>复印件</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运输船舶</w:t>
      </w:r>
      <w:r>
        <w:rPr>
          <w:rFonts w:ascii="宋体" w:hAnsi="宋体" w:cs="宋体"/>
          <w:kern w:val="0"/>
          <w:szCs w:val="21"/>
          <w:highlight w:val="none"/>
          <w:lang w:val="zh-CN" w:bidi="zh-CN"/>
        </w:rPr>
        <w:t>可为自有或租用，自有</w:t>
      </w:r>
      <w:r>
        <w:rPr>
          <w:rFonts w:hint="eastAsia" w:ascii="宋体" w:hAnsi="宋体" w:cs="宋体"/>
          <w:kern w:val="0"/>
          <w:szCs w:val="21"/>
          <w:highlight w:val="none"/>
          <w:lang w:val="zh-CN" w:bidi="zh-CN"/>
        </w:rPr>
        <w:t>或租用</w:t>
      </w:r>
      <w:r>
        <w:rPr>
          <w:rFonts w:ascii="宋体" w:hAnsi="宋体" w:cs="宋体"/>
          <w:kern w:val="0"/>
          <w:szCs w:val="21"/>
          <w:highlight w:val="none"/>
          <w:lang w:val="zh-CN" w:bidi="zh-CN"/>
        </w:rPr>
        <w:t>的均应提供</w:t>
      </w:r>
      <w:r>
        <w:rPr>
          <w:rFonts w:hint="eastAsia" w:ascii="宋体" w:hAnsi="宋体" w:cs="宋体"/>
          <w:kern w:val="0"/>
          <w:szCs w:val="21"/>
          <w:highlight w:val="none"/>
          <w:lang w:val="zh-CN" w:bidi="zh-CN"/>
        </w:rPr>
        <w:t>相关证明材料</w:t>
      </w:r>
      <w:r>
        <w:rPr>
          <w:rFonts w:ascii="宋体" w:hAnsi="宋体" w:cs="宋体"/>
          <w:kern w:val="0"/>
          <w:szCs w:val="21"/>
          <w:highlight w:val="none"/>
          <w:lang w:val="zh-CN" w:bidi="zh-CN"/>
        </w:rPr>
        <w:t>。</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6</w:t>
      </w:r>
      <w:r>
        <w:rPr>
          <w:rFonts w:hint="eastAsia" w:ascii="宋体" w:hAnsi="宋体" w:cs="宋体"/>
          <w:kern w:val="0"/>
          <w:szCs w:val="21"/>
          <w:highlight w:val="none"/>
          <w:lang w:val="zh-CN" w:bidi="zh-CN"/>
        </w:rPr>
        <w:t>）材料采用</w:t>
      </w:r>
      <w:r>
        <w:rPr>
          <w:rFonts w:ascii="宋体" w:hAnsi="宋体" w:cs="宋体"/>
          <w:kern w:val="0"/>
          <w:szCs w:val="21"/>
          <w:highlight w:val="none"/>
          <w:lang w:val="zh-CN" w:bidi="zh-CN"/>
        </w:rPr>
        <w:t>水路运输还应遵守</w:t>
      </w:r>
      <w:r>
        <w:rPr>
          <w:rFonts w:hint="eastAsia" w:ascii="宋体" w:hAnsi="宋体" w:cs="宋体"/>
          <w:kern w:val="0"/>
          <w:szCs w:val="21"/>
          <w:highlight w:val="none"/>
          <w:lang w:val="zh-CN" w:bidi="zh-CN"/>
        </w:rPr>
        <w:t>交通运输部以（</w:t>
      </w:r>
      <w:r>
        <w:rPr>
          <w:rFonts w:ascii="宋体" w:hAnsi="宋体" w:cs="宋体"/>
          <w:kern w:val="0"/>
          <w:szCs w:val="21"/>
          <w:highlight w:val="none"/>
          <w:lang w:val="zh-CN" w:bidi="zh-CN"/>
        </w:rPr>
        <w:t>2020年第4号令颁布了《关于修改〈国内水</w:t>
      </w:r>
      <w:r>
        <w:rPr>
          <w:rFonts w:hint="eastAsia" w:ascii="宋体" w:hAnsi="宋体" w:cs="宋体"/>
          <w:kern w:val="0"/>
          <w:szCs w:val="21"/>
          <w:highlight w:val="none"/>
          <w:lang w:val="zh-CN" w:bidi="zh-CN"/>
        </w:rPr>
        <w:t>路运输管理规定〉的决定》（以下简称《规定》），自</w:t>
      </w:r>
      <w:r>
        <w:rPr>
          <w:rFonts w:ascii="宋体" w:hAnsi="宋体" w:cs="宋体"/>
          <w:kern w:val="0"/>
          <w:szCs w:val="21"/>
          <w:highlight w:val="none"/>
          <w:lang w:val="zh-CN" w:bidi="zh-CN"/>
        </w:rPr>
        <w:t>2020年5月1日起施行</w:t>
      </w:r>
      <w:r>
        <w:rPr>
          <w:rFonts w:hint="eastAsia" w:ascii="宋体" w:hAnsi="宋体" w:cs="宋体"/>
          <w:kern w:val="0"/>
          <w:szCs w:val="21"/>
          <w:highlight w:val="none"/>
          <w:lang w:val="zh-CN" w:bidi="zh-CN"/>
        </w:rPr>
        <w:t>）的</w:t>
      </w:r>
      <w:r>
        <w:rPr>
          <w:rFonts w:ascii="宋体" w:hAnsi="宋体" w:cs="宋体"/>
          <w:kern w:val="0"/>
          <w:szCs w:val="21"/>
          <w:highlight w:val="none"/>
          <w:lang w:val="zh-CN" w:bidi="zh-CN"/>
        </w:rPr>
        <w:t>规定</w:t>
      </w:r>
      <w:r>
        <w:rPr>
          <w:rFonts w:hint="eastAsia" w:ascii="宋体" w:hAnsi="宋体" w:cs="宋体"/>
          <w:kern w:val="0"/>
          <w:szCs w:val="21"/>
          <w:highlight w:val="none"/>
          <w:lang w:val="zh-CN" w:bidi="zh-CN"/>
        </w:rPr>
        <w:t>。</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三</w:t>
      </w:r>
      <w:r>
        <w:rPr>
          <w:rFonts w:ascii="宋体" w:hAnsi="宋体" w:cs="宋体"/>
          <w:kern w:val="0"/>
          <w:szCs w:val="21"/>
          <w:highlight w:val="none"/>
          <w:lang w:val="zh-CN" w:bidi="zh-CN"/>
        </w:rPr>
        <w:t>、现有重庆</w:t>
      </w:r>
      <w:r>
        <w:rPr>
          <w:rFonts w:hint="eastAsia" w:ascii="宋体" w:hAnsi="宋体" w:cs="宋体"/>
          <w:kern w:val="0"/>
          <w:szCs w:val="21"/>
          <w:highlight w:val="none"/>
          <w:lang w:val="zh-CN" w:bidi="zh-CN"/>
        </w:rPr>
        <w:t>果园港至</w:t>
      </w:r>
      <w:r>
        <w:rPr>
          <w:rFonts w:ascii="宋体" w:hAnsi="宋体" w:cs="宋体"/>
          <w:kern w:val="0"/>
          <w:szCs w:val="21"/>
          <w:highlight w:val="none"/>
          <w:lang w:val="zh-CN" w:bidi="zh-CN"/>
        </w:rPr>
        <w:t>雷波糖房坝码头，长江（</w:t>
      </w:r>
      <w:r>
        <w:rPr>
          <w:rFonts w:hint="eastAsia" w:ascii="宋体" w:hAnsi="宋体" w:cs="宋体"/>
          <w:kern w:val="0"/>
          <w:szCs w:val="21"/>
          <w:highlight w:val="none"/>
          <w:lang w:val="zh-CN" w:bidi="zh-CN"/>
        </w:rPr>
        <w:t>金沙江</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现状</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ascii="宋体" w:hAnsi="宋体" w:cs="宋体"/>
          <w:kern w:val="0"/>
          <w:szCs w:val="21"/>
          <w:highlight w:val="none"/>
          <w:lang w:val="zh-CN" w:bidi="zh-CN"/>
        </w:rPr>
        <w:t>1、</w:t>
      </w:r>
      <w:r>
        <w:rPr>
          <w:rFonts w:hint="eastAsia" w:ascii="宋体" w:hAnsi="宋体" w:cs="宋体"/>
          <w:kern w:val="0"/>
          <w:szCs w:val="21"/>
          <w:highlight w:val="none"/>
          <w:lang w:val="zh-CN" w:bidi="zh-CN"/>
        </w:rPr>
        <w:t>本项目工程区内长江</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金沙江</w:t>
      </w:r>
      <w:r>
        <w:rPr>
          <w:rFonts w:ascii="宋体" w:hAnsi="宋体" w:cs="宋体"/>
          <w:kern w:val="0"/>
          <w:szCs w:val="21"/>
          <w:highlight w:val="none"/>
          <w:lang w:val="zh-CN" w:bidi="zh-CN"/>
        </w:rPr>
        <w:t>）</w:t>
      </w:r>
      <w:r>
        <w:rPr>
          <w:rFonts w:hint="eastAsia" w:ascii="宋体" w:hAnsi="宋体" w:cs="宋体"/>
          <w:kern w:val="0"/>
          <w:szCs w:val="21"/>
          <w:highlight w:val="none"/>
          <w:lang w:val="zh-CN" w:bidi="zh-CN"/>
        </w:rPr>
        <w:t>分布有向家坝、溪洛渡两处梯级电站，隶属于三峡公司。影响</w:t>
      </w:r>
      <w:r>
        <w:rPr>
          <w:rFonts w:ascii="宋体" w:hAnsi="宋体" w:cs="宋体"/>
          <w:kern w:val="0"/>
          <w:szCs w:val="21"/>
          <w:highlight w:val="none"/>
          <w:lang w:val="zh-CN" w:bidi="zh-CN"/>
        </w:rPr>
        <w:t>本段运输</w:t>
      </w:r>
      <w:r>
        <w:rPr>
          <w:rFonts w:hint="eastAsia" w:ascii="宋体" w:hAnsi="宋体" w:cs="宋体"/>
          <w:kern w:val="0"/>
          <w:szCs w:val="21"/>
          <w:highlight w:val="none"/>
          <w:lang w:val="zh-CN" w:bidi="zh-CN"/>
        </w:rPr>
        <w:t>的有</w:t>
      </w:r>
      <w:r>
        <w:rPr>
          <w:rFonts w:ascii="宋体" w:hAnsi="宋体" w:cs="宋体"/>
          <w:kern w:val="0"/>
          <w:szCs w:val="21"/>
          <w:highlight w:val="none"/>
          <w:lang w:val="zh-CN" w:bidi="zh-CN"/>
        </w:rPr>
        <w:t>向家坝水库大坝。</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hint="eastAsia" w:ascii="宋体" w:hAnsi="宋体" w:cs="宋体"/>
          <w:kern w:val="0"/>
          <w:szCs w:val="21"/>
          <w:highlight w:val="none"/>
          <w:lang w:val="zh-CN" w:bidi="zh-CN"/>
        </w:rPr>
        <w:t>（</w:t>
      </w:r>
      <w:r>
        <w:rPr>
          <w:rFonts w:ascii="宋体" w:hAnsi="宋体" w:cs="宋体"/>
          <w:kern w:val="0"/>
          <w:szCs w:val="21"/>
          <w:highlight w:val="none"/>
          <w:lang w:val="zh-CN" w:bidi="zh-CN"/>
        </w:rPr>
        <w:t>1）</w:t>
      </w:r>
      <w:r>
        <w:rPr>
          <w:rFonts w:hint="eastAsia" w:ascii="宋体" w:hAnsi="宋体" w:cs="宋体"/>
          <w:kern w:val="0"/>
          <w:szCs w:val="21"/>
          <w:highlight w:val="none"/>
          <w:lang w:val="zh-CN" w:bidi="zh-CN"/>
        </w:rPr>
        <w:t>向家坝水库大坝位于云南省昭通市水富县城西侧，该水库正常蓄水位为</w:t>
      </w:r>
      <w:r>
        <w:rPr>
          <w:rFonts w:ascii="宋体" w:hAnsi="宋体" w:cs="宋体"/>
          <w:kern w:val="0"/>
          <w:szCs w:val="21"/>
          <w:highlight w:val="none"/>
          <w:lang w:val="zh-CN" w:bidi="zh-CN"/>
        </w:rPr>
        <w:t>380m</w:t>
      </w:r>
      <w:r>
        <w:rPr>
          <w:rFonts w:hint="eastAsia" w:ascii="宋体" w:hAnsi="宋体" w:cs="宋体"/>
          <w:kern w:val="0"/>
          <w:szCs w:val="21"/>
          <w:highlight w:val="none"/>
          <w:lang w:val="zh-CN" w:bidi="zh-CN"/>
        </w:rPr>
        <w:t>，死水位和防洪限制水位均为</w:t>
      </w:r>
      <w:r>
        <w:rPr>
          <w:rFonts w:ascii="宋体" w:hAnsi="宋体" w:cs="宋体"/>
          <w:kern w:val="0"/>
          <w:szCs w:val="21"/>
          <w:highlight w:val="none"/>
          <w:lang w:val="zh-CN" w:bidi="zh-CN"/>
        </w:rPr>
        <w:t>370m</w:t>
      </w:r>
      <w:r>
        <w:rPr>
          <w:rFonts w:hint="eastAsia" w:ascii="宋体" w:hAnsi="宋体" w:cs="宋体"/>
          <w:kern w:val="0"/>
          <w:szCs w:val="21"/>
          <w:highlight w:val="none"/>
          <w:lang w:val="zh-CN" w:bidi="zh-CN"/>
        </w:rPr>
        <w:t>。向家坝水库于每年的</w:t>
      </w:r>
      <w:r>
        <w:rPr>
          <w:rFonts w:ascii="宋体" w:hAnsi="宋体" w:cs="宋体"/>
          <w:kern w:val="0"/>
          <w:szCs w:val="21"/>
          <w:highlight w:val="none"/>
          <w:lang w:val="zh-CN" w:bidi="zh-CN"/>
        </w:rPr>
        <w:t>6月份开始放水防洪，水位降幅约10m</w:t>
      </w:r>
      <w:r>
        <w:rPr>
          <w:rFonts w:hint="eastAsia" w:ascii="宋体" w:hAnsi="宋体" w:cs="宋体"/>
          <w:kern w:val="0"/>
          <w:szCs w:val="21"/>
          <w:highlight w:val="none"/>
          <w:lang w:val="zh-CN" w:bidi="zh-CN"/>
        </w:rPr>
        <w:t>，维持时间约</w:t>
      </w:r>
      <w:r>
        <w:rPr>
          <w:rFonts w:ascii="宋体" w:hAnsi="宋体" w:cs="宋体"/>
          <w:kern w:val="0"/>
          <w:szCs w:val="21"/>
          <w:highlight w:val="none"/>
          <w:lang w:val="zh-CN" w:bidi="zh-CN"/>
        </w:rPr>
        <w:t>2个月。</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sectPr>
          <w:pgSz w:w="11906" w:h="16838"/>
          <w:pgMar w:top="1440" w:right="1418" w:bottom="1440" w:left="1701" w:header="629" w:footer="556" w:gutter="0"/>
          <w:pgNumType w:start="1"/>
          <w:cols w:space="720" w:num="1"/>
          <w:docGrid w:linePitch="312" w:charSpace="0"/>
        </w:sectPr>
      </w:pPr>
      <w:bookmarkStart w:id="466" w:name="_Hlk57898654"/>
      <w:r>
        <w:rPr>
          <w:rFonts w:hint="eastAsia" w:ascii="宋体" w:hAnsi="宋体" w:cs="宋体"/>
          <w:kern w:val="0"/>
          <w:szCs w:val="21"/>
          <w:highlight w:val="none"/>
          <w:lang w:val="zh-CN" w:bidi="zh-CN"/>
        </w:rPr>
        <w:t>（</w:t>
      </w:r>
      <w:r>
        <w:rPr>
          <w:rFonts w:ascii="宋体" w:hAnsi="宋体" w:cs="宋体"/>
          <w:kern w:val="0"/>
          <w:szCs w:val="21"/>
          <w:highlight w:val="none"/>
          <w:lang w:val="zh-CN" w:bidi="zh-CN"/>
        </w:rPr>
        <w:t>2）投标人应实地考察运输线路上的相关影响投标报价的因素，</w:t>
      </w:r>
      <w:r>
        <w:rPr>
          <w:rFonts w:hint="eastAsia" w:ascii="宋体" w:hAnsi="宋体" w:cs="宋体"/>
          <w:kern w:val="0"/>
          <w:szCs w:val="21"/>
          <w:highlight w:val="none"/>
          <w:lang w:val="zh-CN" w:bidi="zh-CN"/>
        </w:rPr>
        <w:t>在报价中</w:t>
      </w:r>
      <w:r>
        <w:rPr>
          <w:rFonts w:ascii="宋体" w:hAnsi="宋体" w:cs="宋体"/>
          <w:kern w:val="0"/>
          <w:szCs w:val="21"/>
          <w:highlight w:val="none"/>
          <w:lang w:val="zh-CN" w:bidi="zh-CN"/>
        </w:rPr>
        <w:t>充分考虑，采购人不再对此进行</w:t>
      </w:r>
      <w:r>
        <w:rPr>
          <w:rFonts w:hint="eastAsia" w:ascii="宋体" w:hAnsi="宋体" w:cs="宋体"/>
          <w:kern w:val="0"/>
          <w:szCs w:val="21"/>
          <w:highlight w:val="none"/>
          <w:lang w:val="zh-CN" w:bidi="zh-CN"/>
        </w:rPr>
        <w:t>附加</w:t>
      </w:r>
      <w:r>
        <w:rPr>
          <w:rFonts w:ascii="宋体" w:hAnsi="宋体" w:cs="宋体"/>
          <w:kern w:val="0"/>
          <w:szCs w:val="21"/>
          <w:highlight w:val="none"/>
          <w:lang w:val="zh-CN" w:bidi="zh-CN"/>
        </w:rPr>
        <w:t>的</w:t>
      </w:r>
      <w:r>
        <w:rPr>
          <w:rFonts w:hint="eastAsia" w:ascii="宋体" w:hAnsi="宋体" w:cs="宋体"/>
          <w:kern w:val="0"/>
          <w:szCs w:val="21"/>
          <w:highlight w:val="none"/>
          <w:lang w:val="zh-CN" w:bidi="zh-CN"/>
        </w:rPr>
        <w:t>报价</w:t>
      </w:r>
      <w:r>
        <w:rPr>
          <w:rFonts w:ascii="宋体" w:hAnsi="宋体" w:cs="宋体"/>
          <w:kern w:val="0"/>
          <w:szCs w:val="21"/>
          <w:highlight w:val="none"/>
          <w:lang w:val="zh-CN" w:bidi="zh-CN"/>
        </w:rPr>
        <w:t>变更</w:t>
      </w:r>
      <w:r>
        <w:rPr>
          <w:rFonts w:hint="eastAsia" w:ascii="宋体" w:hAnsi="宋体" w:cs="宋体"/>
          <w:kern w:val="0"/>
          <w:szCs w:val="21"/>
          <w:highlight w:val="none"/>
          <w:lang w:val="zh-CN" w:bidi="zh-CN"/>
        </w:rPr>
        <w:t>。</w:t>
      </w:r>
    </w:p>
    <w:bookmarkEnd w:id="466"/>
    <w:p>
      <w:pPr>
        <w:pStyle w:val="3"/>
        <w:spacing w:line="240" w:lineRule="auto"/>
        <w:jc w:val="center"/>
        <w:rPr>
          <w:rFonts w:ascii="宋体" w:hAnsi="宋体" w:eastAsia="宋体"/>
          <w:color w:val="000000"/>
          <w:sz w:val="36"/>
          <w:highlight w:val="none"/>
        </w:rPr>
      </w:pPr>
    </w:p>
    <w:p>
      <w:pPr>
        <w:pStyle w:val="3"/>
        <w:spacing w:line="240" w:lineRule="auto"/>
        <w:jc w:val="center"/>
        <w:rPr>
          <w:rFonts w:ascii="宋体" w:hAnsi="宋体" w:eastAsia="宋体"/>
          <w:color w:val="000000"/>
          <w:sz w:val="36"/>
          <w:highlight w:val="none"/>
        </w:rPr>
      </w:pPr>
    </w:p>
    <w:p>
      <w:pPr>
        <w:pStyle w:val="3"/>
        <w:spacing w:line="240" w:lineRule="auto"/>
        <w:jc w:val="center"/>
        <w:rPr>
          <w:rFonts w:ascii="宋体" w:hAnsi="宋体" w:eastAsia="宋体"/>
          <w:color w:val="000000"/>
          <w:sz w:val="36"/>
          <w:highlight w:val="none"/>
        </w:rPr>
      </w:pPr>
      <w:bookmarkStart w:id="467" w:name="_Toc50654842"/>
      <w:r>
        <w:rPr>
          <w:rFonts w:hint="eastAsia" w:ascii="宋体" w:hAnsi="宋体" w:eastAsia="宋体"/>
          <w:color w:val="000000"/>
          <w:sz w:val="36"/>
          <w:highlight w:val="none"/>
        </w:rPr>
        <w:t>第四章 响应文件格式</w:t>
      </w:r>
      <w:bookmarkEnd w:id="463"/>
      <w:bookmarkEnd w:id="467"/>
      <w:bookmarkStart w:id="468" w:name="_Toc217446082"/>
    </w:p>
    <w:p>
      <w:pPr>
        <w:pStyle w:val="4"/>
        <w:rPr>
          <w:color w:val="000000"/>
          <w:highlight w:val="none"/>
        </w:rPr>
      </w:pPr>
    </w:p>
    <w:p>
      <w:pPr>
        <w:spacing w:line="228" w:lineRule="auto"/>
        <w:jc w:val="center"/>
        <w:rPr>
          <w:color w:val="000000"/>
          <w:highlight w:val="none"/>
        </w:rPr>
      </w:pPr>
      <w:r>
        <w:rPr>
          <w:rFonts w:hint="eastAsia"/>
          <w:color w:val="000000"/>
          <w:highlight w:val="none"/>
        </w:rPr>
        <w:t xml:space="preserve">   </w:t>
      </w:r>
    </w:p>
    <w:p>
      <w:pPr>
        <w:pStyle w:val="4"/>
        <w:rPr>
          <w:color w:val="000000"/>
          <w:highlight w:val="none"/>
        </w:rPr>
      </w:pPr>
    </w:p>
    <w:p>
      <w:pPr>
        <w:pStyle w:val="4"/>
        <w:rPr>
          <w:color w:val="000000"/>
          <w:highlight w:val="none"/>
        </w:rPr>
      </w:pPr>
    </w:p>
    <w:p>
      <w:pPr>
        <w:pStyle w:val="4"/>
        <w:rPr>
          <w:color w:val="000000"/>
          <w:highlight w:val="none"/>
        </w:rPr>
      </w:pPr>
    </w:p>
    <w:p>
      <w:pPr>
        <w:pStyle w:val="4"/>
        <w:rPr>
          <w:color w:val="000000"/>
          <w:highlight w:val="none"/>
        </w:rPr>
      </w:pPr>
    </w:p>
    <w:p>
      <w:pPr>
        <w:pStyle w:val="4"/>
        <w:rPr>
          <w:color w:val="000000"/>
          <w:highlight w:val="none"/>
        </w:rPr>
      </w:pPr>
    </w:p>
    <w:p>
      <w:pPr>
        <w:pStyle w:val="4"/>
        <w:rPr>
          <w:color w:val="000000"/>
          <w:highlight w:val="none"/>
        </w:rPr>
      </w:pPr>
    </w:p>
    <w:p>
      <w:pPr>
        <w:pStyle w:val="4"/>
        <w:rPr>
          <w:color w:val="000000"/>
          <w:highlight w:val="none"/>
        </w:rPr>
      </w:pPr>
    </w:p>
    <w:p>
      <w:pPr>
        <w:pStyle w:val="4"/>
        <w:rPr>
          <w:color w:val="000000"/>
          <w:highlight w:val="none"/>
        </w:rPr>
      </w:pPr>
    </w:p>
    <w:p>
      <w:pPr>
        <w:pStyle w:val="4"/>
        <w:rPr>
          <w:color w:val="000000"/>
          <w:highlight w:val="none"/>
        </w:rPr>
      </w:pPr>
    </w:p>
    <w:p>
      <w:pPr>
        <w:spacing w:line="360" w:lineRule="auto"/>
        <w:jc w:val="left"/>
        <w:rPr>
          <w:rFonts w:ascii="宋体" w:hAnsi="宋体"/>
          <w:color w:val="000000"/>
          <w:sz w:val="28"/>
          <w:szCs w:val="28"/>
          <w:highlight w:val="none"/>
        </w:rPr>
      </w:pPr>
      <w:bookmarkStart w:id="469" w:name="_Toc317509428"/>
      <w:bookmarkStart w:id="470" w:name="_Toc27721"/>
      <w:bookmarkStart w:id="471" w:name="_Toc27984"/>
      <w:bookmarkStart w:id="472" w:name="_Toc17769"/>
      <w:bookmarkStart w:id="473" w:name="_Toc4114"/>
      <w:bookmarkStart w:id="474" w:name="_Toc339565703"/>
      <w:bookmarkStart w:id="475" w:name="_Toc325464857"/>
      <w:r>
        <w:rPr>
          <w:rFonts w:hint="eastAsia" w:hAnsi="宋体" w:cs="宋体"/>
          <w:b/>
          <w:sz w:val="24"/>
          <w:szCs w:val="24"/>
          <w:highlight w:val="none"/>
        </w:rPr>
        <w:t>注</w:t>
      </w:r>
      <w:r>
        <w:rPr>
          <w:rFonts w:hAnsi="宋体" w:cs="宋体"/>
          <w:b/>
          <w:sz w:val="24"/>
          <w:szCs w:val="24"/>
          <w:highlight w:val="none"/>
        </w:rPr>
        <w:t>：</w:t>
      </w:r>
      <w:r>
        <w:rPr>
          <w:rFonts w:hint="eastAsia" w:hAnsi="宋体" w:cs="宋体"/>
          <w:b/>
          <w:sz w:val="24"/>
          <w:szCs w:val="24"/>
          <w:highlight w:val="none"/>
        </w:rPr>
        <w:t>投标</w:t>
      </w:r>
      <w:r>
        <w:rPr>
          <w:rFonts w:hAnsi="宋体" w:cs="宋体"/>
          <w:b/>
          <w:sz w:val="24"/>
          <w:szCs w:val="24"/>
          <w:highlight w:val="none"/>
        </w:rPr>
        <w:t>人</w:t>
      </w:r>
      <w:r>
        <w:rPr>
          <w:rFonts w:hint="eastAsia" w:hAnsi="宋体" w:cs="宋体"/>
          <w:b/>
          <w:sz w:val="24"/>
          <w:szCs w:val="24"/>
          <w:highlight w:val="none"/>
        </w:rPr>
        <w:t>的</w:t>
      </w:r>
      <w:r>
        <w:rPr>
          <w:rFonts w:hAnsi="宋体" w:cs="宋体"/>
          <w:b/>
          <w:sz w:val="24"/>
          <w:szCs w:val="24"/>
          <w:highlight w:val="none"/>
        </w:rPr>
        <w:t>电子</w:t>
      </w:r>
      <w:r>
        <w:rPr>
          <w:rFonts w:hint="eastAsia" w:hAnsi="宋体" w:cs="宋体"/>
          <w:b/>
          <w:sz w:val="24"/>
          <w:szCs w:val="24"/>
          <w:highlight w:val="none"/>
        </w:rPr>
        <w:t>响应</w:t>
      </w:r>
      <w:r>
        <w:rPr>
          <w:rFonts w:hAnsi="宋体" w:cs="宋体"/>
          <w:b/>
          <w:sz w:val="24"/>
          <w:szCs w:val="24"/>
          <w:highlight w:val="none"/>
        </w:rPr>
        <w:t>文件应</w:t>
      </w:r>
      <w:r>
        <w:rPr>
          <w:rFonts w:hint="eastAsia" w:hAnsi="宋体" w:cs="宋体"/>
          <w:b/>
          <w:sz w:val="24"/>
          <w:szCs w:val="24"/>
          <w:highlight w:val="none"/>
        </w:rPr>
        <w:t>是按照本章</w:t>
      </w:r>
      <w:r>
        <w:rPr>
          <w:rFonts w:hAnsi="宋体" w:cs="宋体"/>
          <w:b/>
          <w:sz w:val="24"/>
          <w:szCs w:val="24"/>
          <w:highlight w:val="none"/>
        </w:rPr>
        <w:t>要求</w:t>
      </w:r>
      <w:r>
        <w:rPr>
          <w:rFonts w:hint="eastAsia" w:hAnsi="宋体" w:cs="宋体"/>
          <w:b/>
          <w:sz w:val="24"/>
          <w:szCs w:val="24"/>
          <w:highlight w:val="none"/>
        </w:rPr>
        <w:t>制作并完成</w:t>
      </w:r>
      <w:r>
        <w:rPr>
          <w:rFonts w:hAnsi="宋体" w:cs="宋体"/>
          <w:b/>
          <w:sz w:val="24"/>
          <w:szCs w:val="24"/>
          <w:highlight w:val="none"/>
        </w:rPr>
        <w:t>签字盖章后</w:t>
      </w:r>
      <w:r>
        <w:rPr>
          <w:rFonts w:hint="eastAsia" w:hAnsi="宋体" w:cs="宋体"/>
          <w:b/>
          <w:sz w:val="24"/>
          <w:szCs w:val="24"/>
          <w:highlight w:val="none"/>
        </w:rPr>
        <w:t>的纸质响应文件原样以PDF格式</w:t>
      </w:r>
      <w:r>
        <w:rPr>
          <w:rFonts w:hAnsi="宋体" w:cs="宋体"/>
          <w:b/>
          <w:sz w:val="24"/>
          <w:szCs w:val="24"/>
          <w:highlight w:val="none"/>
        </w:rPr>
        <w:t>上传“</w:t>
      </w:r>
      <w:r>
        <w:rPr>
          <w:rFonts w:hint="eastAsia" w:hAnsi="宋体" w:cs="宋体"/>
          <w:b/>
          <w:sz w:val="24"/>
          <w:szCs w:val="24"/>
          <w:highlight w:val="none"/>
        </w:rPr>
        <w:t>智采</w:t>
      </w:r>
      <w:r>
        <w:rPr>
          <w:rFonts w:hAnsi="宋体" w:cs="宋体"/>
          <w:b/>
          <w:sz w:val="24"/>
          <w:szCs w:val="24"/>
          <w:highlight w:val="none"/>
        </w:rPr>
        <w:t>平台”</w:t>
      </w:r>
      <w:r>
        <w:rPr>
          <w:rFonts w:hint="eastAsia" w:hAnsi="宋体" w:cs="宋体"/>
          <w:b/>
          <w:sz w:val="24"/>
          <w:szCs w:val="24"/>
          <w:highlight w:val="none"/>
        </w:rPr>
        <w:t>。</w:t>
      </w:r>
      <w:r>
        <w:rPr>
          <w:rFonts w:ascii="宋体" w:hAnsi="宋体"/>
          <w:color w:val="000000"/>
          <w:sz w:val="28"/>
          <w:szCs w:val="28"/>
          <w:highlight w:val="none"/>
        </w:rPr>
        <w:br w:type="page"/>
      </w:r>
    </w:p>
    <w:p>
      <w:pPr>
        <w:spacing w:line="360" w:lineRule="auto"/>
        <w:jc w:val="center"/>
        <w:rPr>
          <w:rFonts w:ascii="仿宋_GB2312" w:eastAsia="仿宋_GB2312"/>
          <w:b/>
          <w:sz w:val="32"/>
          <w:szCs w:val="32"/>
          <w:highlight w:val="none"/>
        </w:rPr>
      </w:pPr>
    </w:p>
    <w:p>
      <w:pPr>
        <w:spacing w:line="360" w:lineRule="auto"/>
        <w:jc w:val="center"/>
        <w:rPr>
          <w:rFonts w:ascii="仿宋_GB2312" w:eastAsia="仿宋_GB2312"/>
          <w:b/>
          <w:color w:val="000000"/>
          <w:w w:val="90"/>
          <w:sz w:val="32"/>
          <w:szCs w:val="32"/>
          <w:highlight w:val="none"/>
        </w:rPr>
      </w:pPr>
      <w:r>
        <w:rPr>
          <w:rFonts w:hint="eastAsia" w:ascii="仿宋_GB2312" w:eastAsia="仿宋_GB2312"/>
          <w:b/>
          <w:color w:val="000000"/>
          <w:w w:val="90"/>
          <w:sz w:val="32"/>
          <w:szCs w:val="32"/>
          <w:highlight w:val="none"/>
        </w:rPr>
        <w:t>G4216线屏山新市至金阳段、</w:t>
      </w:r>
      <w:r>
        <w:rPr>
          <w:rFonts w:ascii="仿宋_GB2312" w:eastAsia="仿宋_GB2312"/>
          <w:b/>
          <w:color w:val="000000"/>
          <w:w w:val="90"/>
          <w:sz w:val="32"/>
          <w:szCs w:val="32"/>
          <w:highlight w:val="none"/>
        </w:rPr>
        <w:t>金阳至宁南段</w:t>
      </w:r>
      <w:r>
        <w:rPr>
          <w:rFonts w:hint="eastAsia" w:ascii="仿宋_GB2312" w:eastAsia="仿宋_GB2312"/>
          <w:b/>
          <w:color w:val="000000"/>
          <w:w w:val="90"/>
          <w:sz w:val="32"/>
          <w:szCs w:val="32"/>
          <w:highlight w:val="none"/>
        </w:rPr>
        <w:t>高速公路项目</w:t>
      </w:r>
    </w:p>
    <w:p>
      <w:pPr>
        <w:spacing w:line="360" w:lineRule="auto"/>
        <w:jc w:val="center"/>
        <w:rPr>
          <w:rFonts w:ascii="仿宋_GB2312" w:eastAsia="仿宋_GB2312"/>
          <w:b/>
          <w:color w:val="000000"/>
          <w:sz w:val="36"/>
          <w:szCs w:val="36"/>
          <w:highlight w:val="none"/>
        </w:rPr>
      </w:pPr>
      <w:r>
        <w:rPr>
          <w:rFonts w:hint="eastAsia" w:ascii="宋体" w:hAnsi="宋体"/>
          <w:b/>
          <w:sz w:val="36"/>
          <w:szCs w:val="36"/>
          <w:highlight w:val="none"/>
        </w:rPr>
        <w:t>2021～</w:t>
      </w:r>
      <w:r>
        <w:rPr>
          <w:rFonts w:ascii="宋体" w:hAnsi="宋体"/>
          <w:b/>
          <w:sz w:val="36"/>
          <w:szCs w:val="36"/>
          <w:highlight w:val="none"/>
        </w:rPr>
        <w:t>2022</w:t>
      </w:r>
      <w:r>
        <w:rPr>
          <w:rFonts w:hint="eastAsia" w:ascii="宋体" w:hAnsi="宋体"/>
          <w:b/>
          <w:sz w:val="36"/>
          <w:szCs w:val="36"/>
          <w:highlight w:val="none"/>
        </w:rPr>
        <w:t>年度钢材船舶运输服务（第三次）招标</w:t>
      </w:r>
    </w:p>
    <w:p>
      <w:pPr>
        <w:spacing w:line="360" w:lineRule="auto"/>
        <w:jc w:val="center"/>
        <w:rPr>
          <w:rFonts w:ascii="宋体" w:hAnsi="宋体"/>
          <w:b/>
          <w:color w:val="000000"/>
          <w:spacing w:val="-6"/>
          <w:sz w:val="32"/>
          <w:szCs w:val="32"/>
          <w:highlight w:val="none"/>
        </w:rPr>
      </w:pPr>
      <w:r>
        <w:rPr>
          <w:rFonts w:hint="eastAsia" w:ascii="宋体" w:hAnsi="宋体"/>
          <w:b/>
          <w:color w:val="000000"/>
          <w:spacing w:val="-6"/>
          <w:sz w:val="32"/>
          <w:szCs w:val="32"/>
          <w:highlight w:val="none"/>
        </w:rPr>
        <w:t xml:space="preserve">第 </w:t>
      </w:r>
      <w:r>
        <w:rPr>
          <w:rFonts w:hint="eastAsia" w:ascii="宋体" w:hAnsi="宋体"/>
          <w:b/>
          <w:color w:val="000000"/>
          <w:spacing w:val="-6"/>
          <w:sz w:val="32"/>
          <w:szCs w:val="32"/>
          <w:highlight w:val="none"/>
          <w:u w:val="single"/>
        </w:rPr>
        <w:t xml:space="preserve"> </w:t>
      </w:r>
      <w:r>
        <w:rPr>
          <w:rFonts w:ascii="宋体" w:hAnsi="宋体"/>
          <w:b/>
          <w:color w:val="000000"/>
          <w:spacing w:val="-6"/>
          <w:sz w:val="32"/>
          <w:szCs w:val="32"/>
          <w:highlight w:val="none"/>
          <w:u w:val="single"/>
        </w:rPr>
        <w:t>GCYS</w:t>
      </w:r>
      <w:r>
        <w:rPr>
          <w:rFonts w:hint="eastAsia" w:ascii="宋体" w:hAnsi="宋体"/>
          <w:b/>
          <w:color w:val="000000"/>
          <w:spacing w:val="-6"/>
          <w:sz w:val="32"/>
          <w:szCs w:val="32"/>
          <w:highlight w:val="none"/>
          <w:u w:val="single"/>
        </w:rPr>
        <w:t xml:space="preserve"> </w:t>
      </w:r>
      <w:r>
        <w:rPr>
          <w:rFonts w:hint="eastAsia" w:ascii="宋体" w:hAnsi="宋体"/>
          <w:b/>
          <w:color w:val="000000"/>
          <w:spacing w:val="-6"/>
          <w:sz w:val="32"/>
          <w:szCs w:val="32"/>
          <w:highlight w:val="none"/>
        </w:rPr>
        <w:t>标段</w:t>
      </w:r>
    </w:p>
    <w:p>
      <w:pPr>
        <w:spacing w:line="360" w:lineRule="auto"/>
        <w:jc w:val="center"/>
        <w:rPr>
          <w:rFonts w:ascii="宋体" w:hAnsi="宋体"/>
          <w:b/>
          <w:color w:val="000000"/>
          <w:spacing w:val="-6"/>
          <w:sz w:val="32"/>
          <w:szCs w:val="32"/>
          <w:highlight w:val="none"/>
          <w:u w:val="single"/>
        </w:rPr>
      </w:pPr>
    </w:p>
    <w:p>
      <w:pPr>
        <w:jc w:val="center"/>
        <w:rPr>
          <w:rFonts w:ascii="宋体" w:hAnsi="宋体"/>
          <w:b/>
          <w:color w:val="000000"/>
          <w:sz w:val="32"/>
          <w:szCs w:val="32"/>
          <w:highlight w:val="none"/>
        </w:rPr>
      </w:pPr>
    </w:p>
    <w:p>
      <w:pPr>
        <w:jc w:val="center"/>
        <w:rPr>
          <w:rFonts w:ascii="宋体" w:hAnsi="宋体"/>
          <w:b/>
          <w:color w:val="000000"/>
          <w:sz w:val="72"/>
          <w:highlight w:val="none"/>
        </w:rPr>
      </w:pPr>
    </w:p>
    <w:p>
      <w:pPr>
        <w:jc w:val="center"/>
        <w:rPr>
          <w:rFonts w:ascii="宋体" w:hAnsi="宋体"/>
          <w:b/>
          <w:color w:val="000000"/>
          <w:sz w:val="72"/>
          <w:highlight w:val="none"/>
        </w:rPr>
      </w:pPr>
    </w:p>
    <w:p>
      <w:pPr>
        <w:spacing w:line="360" w:lineRule="auto"/>
        <w:jc w:val="center"/>
        <w:rPr>
          <w:rFonts w:ascii="宋体" w:hAnsi="宋体"/>
          <w:b/>
          <w:color w:val="000000"/>
          <w:sz w:val="72"/>
          <w:highlight w:val="none"/>
        </w:rPr>
      </w:pPr>
      <w:r>
        <w:rPr>
          <w:rFonts w:hint="eastAsia" w:ascii="宋体" w:hAnsi="宋体"/>
          <w:b/>
          <w:color w:val="000000"/>
          <w:sz w:val="72"/>
          <w:highlight w:val="none"/>
        </w:rPr>
        <w:t>响应性文件</w:t>
      </w:r>
    </w:p>
    <w:p>
      <w:pPr>
        <w:spacing w:line="520" w:lineRule="exact"/>
        <w:jc w:val="center"/>
        <w:rPr>
          <w:rFonts w:ascii="宋体" w:hAnsi="宋体"/>
          <w:b/>
          <w:color w:val="000000"/>
          <w:sz w:val="36"/>
          <w:szCs w:val="36"/>
          <w:highlight w:val="none"/>
        </w:rPr>
      </w:pPr>
    </w:p>
    <w:p>
      <w:pPr>
        <w:spacing w:line="520" w:lineRule="exact"/>
        <w:jc w:val="center"/>
        <w:rPr>
          <w:rFonts w:ascii="宋体" w:hAnsi="宋体"/>
          <w:b/>
          <w:color w:val="000000"/>
          <w:sz w:val="36"/>
          <w:szCs w:val="36"/>
          <w:highlight w:val="none"/>
        </w:rPr>
      </w:pPr>
    </w:p>
    <w:p>
      <w:pPr>
        <w:spacing w:line="520" w:lineRule="exact"/>
        <w:jc w:val="center"/>
        <w:rPr>
          <w:rFonts w:ascii="宋体" w:hAnsi="宋体"/>
          <w:b/>
          <w:color w:val="000000"/>
          <w:sz w:val="36"/>
          <w:szCs w:val="36"/>
          <w:highlight w:val="none"/>
        </w:rPr>
      </w:pPr>
    </w:p>
    <w:p>
      <w:pPr>
        <w:spacing w:line="520" w:lineRule="exact"/>
        <w:jc w:val="center"/>
        <w:rPr>
          <w:rFonts w:ascii="宋体" w:hAnsi="宋体"/>
          <w:b/>
          <w:color w:val="000000"/>
          <w:sz w:val="36"/>
          <w:szCs w:val="36"/>
          <w:highlight w:val="none"/>
        </w:rPr>
      </w:pPr>
    </w:p>
    <w:p>
      <w:pPr>
        <w:spacing w:line="520" w:lineRule="exact"/>
        <w:jc w:val="center"/>
        <w:rPr>
          <w:rFonts w:ascii="宋体" w:hAnsi="宋体"/>
          <w:b/>
          <w:color w:val="000000"/>
          <w:sz w:val="36"/>
          <w:szCs w:val="36"/>
          <w:highlight w:val="none"/>
        </w:rPr>
      </w:pPr>
    </w:p>
    <w:p>
      <w:pPr>
        <w:spacing w:line="520" w:lineRule="exact"/>
        <w:jc w:val="center"/>
        <w:rPr>
          <w:rFonts w:ascii="宋体" w:hAnsi="宋体"/>
          <w:b/>
          <w:color w:val="000000"/>
          <w:sz w:val="36"/>
          <w:szCs w:val="36"/>
          <w:highlight w:val="none"/>
        </w:rPr>
      </w:pPr>
    </w:p>
    <w:p>
      <w:pPr>
        <w:spacing w:line="520" w:lineRule="exact"/>
        <w:jc w:val="center"/>
        <w:rPr>
          <w:rFonts w:ascii="宋体" w:hAnsi="宋体"/>
          <w:b/>
          <w:color w:val="000000"/>
          <w:sz w:val="36"/>
          <w:szCs w:val="36"/>
          <w:highlight w:val="none"/>
        </w:rPr>
      </w:pPr>
    </w:p>
    <w:p>
      <w:pPr>
        <w:ind w:firstLine="2393" w:firstLineChars="745"/>
        <w:rPr>
          <w:rFonts w:ascii="宋体" w:hAnsi="宋体"/>
          <w:b/>
          <w:color w:val="000000"/>
          <w:sz w:val="32"/>
          <w:szCs w:val="32"/>
          <w:highlight w:val="none"/>
        </w:rPr>
      </w:pPr>
    </w:p>
    <w:p>
      <w:pPr>
        <w:ind w:firstLine="2393" w:firstLineChars="745"/>
        <w:rPr>
          <w:rFonts w:ascii="宋体" w:hAnsi="宋体"/>
          <w:b/>
          <w:color w:val="000000"/>
          <w:sz w:val="36"/>
          <w:szCs w:val="36"/>
          <w:highlight w:val="none"/>
        </w:rPr>
      </w:pPr>
      <w:r>
        <w:rPr>
          <w:rFonts w:hint="eastAsia" w:ascii="宋体" w:hAnsi="宋体"/>
          <w:b/>
          <w:color w:val="000000"/>
          <w:sz w:val="32"/>
          <w:szCs w:val="32"/>
          <w:highlight w:val="none"/>
        </w:rPr>
        <w:t>投标人</w:t>
      </w:r>
      <w:r>
        <w:rPr>
          <w:rFonts w:hint="eastAsia" w:ascii="宋体" w:hAnsi="宋体"/>
          <w:b/>
          <w:color w:val="000000"/>
          <w:sz w:val="30"/>
          <w:szCs w:val="30"/>
          <w:highlight w:val="none"/>
        </w:rPr>
        <w:t xml:space="preserve">： </w:t>
      </w:r>
    </w:p>
    <w:p>
      <w:pPr>
        <w:spacing w:line="520" w:lineRule="exact"/>
        <w:jc w:val="center"/>
        <w:rPr>
          <w:rFonts w:ascii="宋体" w:hAnsi="宋体"/>
          <w:b/>
          <w:color w:val="000000"/>
          <w:sz w:val="36"/>
          <w:highlight w:val="none"/>
          <w:lang w:val="zh-CN"/>
        </w:rPr>
      </w:pPr>
      <w:r>
        <w:rPr>
          <w:rFonts w:hint="eastAsia" w:ascii="宋体" w:hAnsi="宋体"/>
          <w:b/>
          <w:color w:val="000000"/>
          <w:sz w:val="36"/>
          <w:highlight w:val="none"/>
          <w:lang w:val="zh-CN"/>
        </w:rPr>
        <w:t xml:space="preserve"> </w:t>
      </w:r>
    </w:p>
    <w:p>
      <w:pPr>
        <w:spacing w:line="520" w:lineRule="exact"/>
        <w:jc w:val="center"/>
        <w:rPr>
          <w:rFonts w:ascii="宋体" w:hAnsi="宋体"/>
          <w:b/>
          <w:color w:val="000000"/>
          <w:sz w:val="36"/>
          <w:highlight w:val="none"/>
          <w:lang w:val="zh-CN"/>
        </w:rPr>
      </w:pPr>
      <w:r>
        <w:rPr>
          <w:rFonts w:hint="eastAsia" w:ascii="宋体" w:hAnsi="宋体"/>
          <w:b/>
          <w:color w:val="000000"/>
          <w:sz w:val="36"/>
          <w:highlight w:val="none"/>
          <w:lang w:val="zh-CN"/>
        </w:rPr>
        <w:t>二Ｏ二一年一月</w:t>
      </w:r>
    </w:p>
    <w:p>
      <w:pPr>
        <w:pStyle w:val="3"/>
        <w:spacing w:line="400" w:lineRule="exact"/>
        <w:jc w:val="center"/>
        <w:rPr>
          <w:rFonts w:ascii="宋体" w:hAnsi="宋体" w:eastAsia="宋体"/>
          <w:color w:val="000000"/>
          <w:sz w:val="32"/>
          <w:szCs w:val="32"/>
          <w:highlight w:val="none"/>
        </w:rPr>
      </w:pPr>
      <w:r>
        <w:rPr>
          <w:rFonts w:ascii="宋体" w:hAnsi="宋体" w:eastAsia="宋体"/>
          <w:color w:val="000000"/>
          <w:sz w:val="24"/>
          <w:highlight w:val="none"/>
        </w:rPr>
        <w:br w:type="page"/>
      </w:r>
      <w:bookmarkEnd w:id="468"/>
      <w:bookmarkEnd w:id="469"/>
      <w:bookmarkEnd w:id="470"/>
      <w:bookmarkEnd w:id="471"/>
      <w:bookmarkEnd w:id="472"/>
      <w:bookmarkEnd w:id="473"/>
      <w:bookmarkEnd w:id="474"/>
      <w:bookmarkEnd w:id="475"/>
      <w:bookmarkStart w:id="476" w:name="_Toc50654843"/>
      <w:r>
        <w:rPr>
          <w:rFonts w:hint="eastAsia" w:ascii="宋体" w:hAnsi="宋体" w:eastAsia="宋体"/>
          <w:color w:val="000000"/>
          <w:sz w:val="32"/>
          <w:szCs w:val="32"/>
          <w:highlight w:val="none"/>
        </w:rPr>
        <w:t>一、谈</w:t>
      </w:r>
      <w:r>
        <w:rPr>
          <w:rFonts w:ascii="宋体" w:hAnsi="宋体" w:eastAsia="宋体"/>
          <w:color w:val="000000"/>
          <w:sz w:val="32"/>
          <w:szCs w:val="32"/>
          <w:highlight w:val="none"/>
        </w:rPr>
        <w:t xml:space="preserve"> </w:t>
      </w:r>
      <w:r>
        <w:rPr>
          <w:rFonts w:hint="eastAsia" w:ascii="宋体" w:hAnsi="宋体" w:eastAsia="宋体"/>
          <w:color w:val="000000"/>
          <w:sz w:val="32"/>
          <w:szCs w:val="32"/>
          <w:highlight w:val="none"/>
        </w:rPr>
        <w:t>判</w:t>
      </w:r>
      <w:r>
        <w:rPr>
          <w:rFonts w:ascii="宋体" w:hAnsi="宋体" w:eastAsia="宋体"/>
          <w:color w:val="000000"/>
          <w:sz w:val="32"/>
          <w:szCs w:val="32"/>
          <w:highlight w:val="none"/>
        </w:rPr>
        <w:t xml:space="preserve"> </w:t>
      </w:r>
      <w:r>
        <w:rPr>
          <w:rFonts w:hint="eastAsia" w:ascii="宋体" w:hAnsi="宋体" w:eastAsia="宋体"/>
          <w:color w:val="000000"/>
          <w:sz w:val="32"/>
          <w:szCs w:val="32"/>
          <w:highlight w:val="none"/>
        </w:rPr>
        <w:t>函</w:t>
      </w:r>
      <w:bookmarkEnd w:id="476"/>
    </w:p>
    <w:p>
      <w:pPr>
        <w:spacing w:line="360" w:lineRule="auto"/>
        <w:rPr>
          <w:rFonts w:ascii="宋体" w:hAnsi="宋体"/>
          <w:color w:val="000000"/>
          <w:sz w:val="24"/>
          <w:szCs w:val="24"/>
          <w:highlight w:val="none"/>
          <w:u w:val="single"/>
        </w:rPr>
      </w:pPr>
    </w:p>
    <w:p>
      <w:pPr>
        <w:spacing w:line="360" w:lineRule="auto"/>
        <w:rPr>
          <w:rFonts w:ascii="宋体"/>
          <w:color w:val="000000"/>
          <w:szCs w:val="21"/>
          <w:highlight w:val="none"/>
          <w:u w:val="single"/>
        </w:rPr>
      </w:pPr>
      <w:r>
        <w:rPr>
          <w:rFonts w:hint="eastAsia" w:ascii="宋体" w:hAnsi="宋体" w:cs="宋体"/>
          <w:szCs w:val="21"/>
          <w:highlight w:val="none"/>
        </w:rPr>
        <w:t>四川交投物流有限公司</w:t>
      </w:r>
      <w:r>
        <w:rPr>
          <w:rFonts w:hint="eastAsia" w:ascii="宋体" w:hAnsi="宋体"/>
          <w:color w:val="000000"/>
          <w:szCs w:val="21"/>
          <w:highlight w:val="none"/>
        </w:rPr>
        <w:t>：</w:t>
      </w:r>
    </w:p>
    <w:p>
      <w:pPr>
        <w:spacing w:line="360" w:lineRule="auto"/>
        <w:ind w:firstLine="420" w:firstLineChars="200"/>
        <w:rPr>
          <w:rFonts w:ascii="宋体"/>
          <w:color w:val="000000"/>
          <w:szCs w:val="21"/>
          <w:highlight w:val="none"/>
        </w:rPr>
      </w:pPr>
      <w:r>
        <w:rPr>
          <w:rFonts w:hint="eastAsia" w:ascii="宋体" w:hAnsi="宋体" w:cs="宋体"/>
          <w:szCs w:val="21"/>
          <w:highlight w:val="none"/>
        </w:rPr>
        <w:t>我方全面研究了“G4216线屏山新市至金阳段、</w:t>
      </w:r>
      <w:r>
        <w:rPr>
          <w:rFonts w:ascii="宋体" w:hAnsi="宋体" w:cs="宋体"/>
          <w:szCs w:val="21"/>
          <w:highlight w:val="none"/>
        </w:rPr>
        <w:t>金阳至宁南段</w:t>
      </w:r>
      <w:r>
        <w:rPr>
          <w:rFonts w:hint="eastAsia" w:ascii="宋体" w:hAnsi="宋体" w:cs="宋体"/>
          <w:szCs w:val="21"/>
          <w:highlight w:val="none"/>
        </w:rPr>
        <w:t>高速公路项目2021～</w:t>
      </w:r>
      <w:r>
        <w:rPr>
          <w:rFonts w:ascii="宋体" w:hAnsi="宋体" w:cs="宋体"/>
          <w:szCs w:val="21"/>
          <w:highlight w:val="none"/>
        </w:rPr>
        <w:t>2022</w:t>
      </w:r>
      <w:r>
        <w:rPr>
          <w:rFonts w:hint="eastAsia" w:ascii="宋体" w:hAnsi="宋体" w:cs="宋体"/>
          <w:szCs w:val="21"/>
          <w:highlight w:val="none"/>
        </w:rPr>
        <w:t>年度钢材船舶运输服务（第三次）招标”竞争性谈判</w:t>
      </w:r>
      <w:r>
        <w:rPr>
          <w:rFonts w:hint="eastAsia" w:ascii="宋体" w:hAnsi="宋体"/>
          <w:color w:val="000000"/>
          <w:szCs w:val="21"/>
          <w:highlight w:val="none"/>
        </w:rPr>
        <w:t>文件，决定参加贵单位组织的本项目</w:t>
      </w:r>
      <w:r>
        <w:rPr>
          <w:rFonts w:hint="eastAsia" w:ascii="宋体" w:hAnsi="宋体" w:cs="宋体"/>
          <w:szCs w:val="21"/>
          <w:highlight w:val="none"/>
        </w:rPr>
        <w:t>第</w:t>
      </w:r>
      <w:r>
        <w:rPr>
          <w:rFonts w:ascii="宋体" w:hAnsi="宋体" w:cs="宋体"/>
          <w:szCs w:val="21"/>
          <w:highlight w:val="none"/>
          <w:u w:val="single"/>
        </w:rPr>
        <w:t>GCYS</w:t>
      </w:r>
      <w:r>
        <w:rPr>
          <w:rFonts w:hint="eastAsia" w:ascii="宋体" w:hAnsi="宋体" w:cs="宋体"/>
          <w:szCs w:val="21"/>
          <w:highlight w:val="none"/>
        </w:rPr>
        <w:t>标段</w:t>
      </w:r>
      <w:r>
        <w:rPr>
          <w:rFonts w:hint="eastAsia" w:ascii="宋体" w:hAnsi="宋体"/>
          <w:color w:val="000000"/>
          <w:szCs w:val="21"/>
          <w:highlight w:val="none"/>
        </w:rPr>
        <w:t>谈判。</w:t>
      </w:r>
    </w:p>
    <w:p>
      <w:pPr>
        <w:spacing w:line="360" w:lineRule="auto"/>
        <w:ind w:firstLine="420" w:firstLineChars="200"/>
        <w:rPr>
          <w:rFonts w:ascii="宋体"/>
          <w:color w:val="000000"/>
          <w:spacing w:val="6"/>
          <w:szCs w:val="21"/>
          <w:highlight w:val="none"/>
        </w:rPr>
      </w:pPr>
      <w:r>
        <w:rPr>
          <w:rFonts w:ascii="宋体" w:hAnsi="宋体"/>
          <w:color w:val="000000"/>
          <w:szCs w:val="21"/>
          <w:highlight w:val="none"/>
        </w:rPr>
        <w:t>1</w:t>
      </w:r>
      <w:r>
        <w:rPr>
          <w:rFonts w:hint="eastAsia" w:ascii="宋体" w:hAnsi="宋体"/>
          <w:color w:val="000000"/>
          <w:spacing w:val="6"/>
          <w:szCs w:val="21"/>
          <w:highlight w:val="none"/>
        </w:rPr>
        <w:t>、</w:t>
      </w:r>
      <w:r>
        <w:rPr>
          <w:rFonts w:hint="eastAsia" w:ascii="宋体" w:hAnsi="宋体"/>
          <w:spacing w:val="6"/>
          <w:szCs w:val="21"/>
          <w:highlight w:val="none"/>
        </w:rPr>
        <w:t>我方愿意</w:t>
      </w:r>
      <w:r>
        <w:rPr>
          <w:rFonts w:hint="eastAsia" w:ascii="宋体" w:hAnsi="宋体" w:cs="宋体"/>
          <w:szCs w:val="21"/>
          <w:highlight w:val="none"/>
        </w:rPr>
        <w:t>以</w:t>
      </w:r>
      <w:r>
        <w:rPr>
          <w:rFonts w:hint="eastAsia" w:ascii="宋体" w:hAnsi="宋体"/>
          <w:spacing w:val="6"/>
          <w:szCs w:val="21"/>
          <w:highlight w:val="none"/>
        </w:rPr>
        <w:t>总谈判报价人民币大写</w:t>
      </w:r>
      <w:r>
        <w:rPr>
          <w:rFonts w:ascii="宋体" w:hAnsi="宋体"/>
          <w:spacing w:val="6"/>
          <w:szCs w:val="21"/>
          <w:highlight w:val="none"/>
          <w:u w:val="single"/>
        </w:rPr>
        <w:t xml:space="preserve">            </w:t>
      </w:r>
      <w:r>
        <w:rPr>
          <w:rFonts w:hint="eastAsia" w:ascii="宋体" w:hAnsi="宋体"/>
          <w:spacing w:val="6"/>
          <w:szCs w:val="21"/>
          <w:highlight w:val="none"/>
        </w:rPr>
        <w:t>元（¥</w:t>
      </w:r>
      <w:r>
        <w:rPr>
          <w:rFonts w:ascii="宋体" w:hAnsi="宋体"/>
          <w:spacing w:val="6"/>
          <w:szCs w:val="21"/>
          <w:highlight w:val="none"/>
        </w:rPr>
        <w:t xml:space="preserve"> </w:t>
      </w:r>
      <w:r>
        <w:rPr>
          <w:rFonts w:ascii="宋体" w:hAnsi="宋体"/>
          <w:spacing w:val="6"/>
          <w:szCs w:val="21"/>
          <w:highlight w:val="none"/>
          <w:u w:val="single"/>
        </w:rPr>
        <w:t xml:space="preserve">         </w:t>
      </w:r>
      <w:r>
        <w:rPr>
          <w:rFonts w:hint="eastAsia" w:ascii="宋体" w:hAnsi="宋体"/>
          <w:spacing w:val="6"/>
          <w:szCs w:val="21"/>
          <w:highlight w:val="none"/>
        </w:rPr>
        <w:t>），</w:t>
      </w:r>
      <w:bookmarkStart w:id="477" w:name="_Hlk57899959"/>
      <w:r>
        <w:rPr>
          <w:rFonts w:hint="eastAsia" w:ascii="宋体" w:hAnsi="宋体"/>
          <w:spacing w:val="6"/>
          <w:szCs w:val="21"/>
          <w:highlight w:val="none"/>
        </w:rPr>
        <w:t>运输服务期</w:t>
      </w:r>
      <w:r>
        <w:rPr>
          <w:rFonts w:ascii="宋体" w:hAnsi="宋体"/>
          <w:spacing w:val="6"/>
          <w:szCs w:val="21"/>
          <w:highlight w:val="none"/>
        </w:rPr>
        <w:t>：</w:t>
      </w:r>
      <w:r>
        <w:rPr>
          <w:rFonts w:ascii="宋体" w:hAnsi="宋体"/>
          <w:spacing w:val="6"/>
          <w:szCs w:val="21"/>
          <w:highlight w:val="none"/>
          <w:u w:val="single"/>
        </w:rPr>
        <w:t>24个月</w:t>
      </w:r>
      <w:r>
        <w:rPr>
          <w:rFonts w:hint="eastAsia" w:ascii="宋体" w:hAnsi="宋体"/>
          <w:spacing w:val="6"/>
          <w:szCs w:val="21"/>
          <w:highlight w:val="none"/>
        </w:rPr>
        <w:t>，</w:t>
      </w:r>
      <w:bookmarkEnd w:id="477"/>
      <w:r>
        <w:rPr>
          <w:rFonts w:hint="eastAsia" w:ascii="宋体" w:hAnsi="宋体"/>
          <w:spacing w:val="6"/>
          <w:szCs w:val="21"/>
          <w:highlight w:val="none"/>
        </w:rPr>
        <w:t>按照谈判文件规定的各项要求向招标人提供所需船舶运输服务</w:t>
      </w:r>
      <w:r>
        <w:rPr>
          <w:rFonts w:hint="eastAsia" w:ascii="宋体" w:hAnsi="宋体"/>
          <w:color w:val="000000"/>
          <w:spacing w:val="6"/>
          <w:szCs w:val="21"/>
          <w:highlight w:val="none"/>
        </w:rPr>
        <w:t>。</w:t>
      </w:r>
    </w:p>
    <w:p>
      <w:pPr>
        <w:spacing w:line="360" w:lineRule="auto"/>
        <w:ind w:firstLine="420" w:firstLineChars="200"/>
        <w:rPr>
          <w:rFonts w:asci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、一旦我方成交，我方将严格履行合同规定的责任和义务，保证于要求内完成项目的钢材运输服务。</w:t>
      </w:r>
    </w:p>
    <w:p>
      <w:pPr>
        <w:spacing w:line="360" w:lineRule="auto"/>
        <w:ind w:firstLine="420" w:firstLineChars="200"/>
        <w:rPr>
          <w:rFonts w:asci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、我方为本项目提交的响应文件正本</w:t>
      </w:r>
      <w:r>
        <w:rPr>
          <w:rFonts w:ascii="宋体" w:hAnsi="宋体"/>
          <w:color w:val="000000"/>
          <w:szCs w:val="21"/>
          <w:highlight w:val="none"/>
        </w:rPr>
        <w:t>1</w:t>
      </w:r>
      <w:r>
        <w:rPr>
          <w:rFonts w:hint="eastAsia" w:ascii="宋体" w:hAnsi="宋体"/>
          <w:color w:val="000000"/>
          <w:szCs w:val="21"/>
          <w:highlight w:val="none"/>
        </w:rPr>
        <w:t>份，副本</w:t>
      </w:r>
      <w:r>
        <w:rPr>
          <w:rFonts w:ascii="宋体" w:hAnsi="宋体"/>
          <w:color w:val="000000"/>
          <w:szCs w:val="21"/>
          <w:highlight w:val="none"/>
        </w:rPr>
        <w:t>2</w:t>
      </w:r>
      <w:r>
        <w:rPr>
          <w:rFonts w:hint="eastAsia" w:ascii="宋体" w:hAnsi="宋体"/>
          <w:color w:val="000000"/>
          <w:szCs w:val="21"/>
          <w:highlight w:val="none"/>
        </w:rPr>
        <w:t>份。</w:t>
      </w:r>
    </w:p>
    <w:p>
      <w:pPr>
        <w:spacing w:line="360" w:lineRule="auto"/>
        <w:ind w:firstLine="420" w:firstLineChars="200"/>
        <w:rPr>
          <w:rFonts w:asci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、我方承诺，谈判有效期为：响应文件递交截止后</w:t>
      </w:r>
      <w:r>
        <w:rPr>
          <w:rFonts w:ascii="宋体" w:hAnsi="宋体"/>
          <w:color w:val="000000"/>
          <w:szCs w:val="21"/>
          <w:highlight w:val="none"/>
        </w:rPr>
        <w:t>90</w:t>
      </w:r>
      <w:r>
        <w:rPr>
          <w:rFonts w:hint="eastAsia" w:ascii="宋体" w:hAnsi="宋体"/>
          <w:color w:val="000000"/>
          <w:szCs w:val="21"/>
          <w:highlight w:val="none"/>
        </w:rPr>
        <w:t>天。</w:t>
      </w:r>
    </w:p>
    <w:p>
      <w:pPr>
        <w:spacing w:line="360" w:lineRule="auto"/>
        <w:ind w:firstLine="420" w:firstLineChars="200"/>
        <w:rPr>
          <w:rFonts w:ascii="宋体"/>
          <w:color w:val="000000"/>
          <w:szCs w:val="21"/>
          <w:highlight w:val="none"/>
        </w:rPr>
      </w:pPr>
      <w:r>
        <w:rPr>
          <w:rFonts w:ascii="宋体" w:hAnsi="宋体"/>
          <w:color w:val="000000"/>
          <w:szCs w:val="21"/>
          <w:highlight w:val="none"/>
        </w:rPr>
        <w:t>5</w:t>
      </w:r>
      <w:r>
        <w:rPr>
          <w:rFonts w:hint="eastAsia" w:ascii="宋体" w:hAnsi="宋体"/>
          <w:color w:val="000000"/>
          <w:szCs w:val="21"/>
          <w:highlight w:val="none"/>
        </w:rPr>
        <w:t>、我方愿意提供贵公司可能另外要求的，与谈判有关的文件资料，并保证我方已提供和将要提供的文件资料是真实、准确的。</w:t>
      </w:r>
    </w:p>
    <w:p>
      <w:pPr>
        <w:spacing w:line="360" w:lineRule="auto"/>
        <w:ind w:firstLine="420" w:firstLineChars="200"/>
        <w:rPr>
          <w:rFonts w:ascii="宋体" w:hAnsi="宋体"/>
          <w:color w:val="000000"/>
          <w:szCs w:val="21"/>
          <w:highlight w:val="none"/>
        </w:rPr>
      </w:pPr>
    </w:p>
    <w:p>
      <w:pPr>
        <w:spacing w:line="360" w:lineRule="auto"/>
        <w:ind w:firstLine="420" w:firstLineChars="200"/>
        <w:rPr>
          <w:rFonts w:ascii="宋体" w:hAnsi="宋体"/>
          <w:color w:val="000000"/>
          <w:szCs w:val="21"/>
          <w:highlight w:val="none"/>
        </w:rPr>
      </w:pPr>
    </w:p>
    <w:p>
      <w:pPr>
        <w:spacing w:line="360" w:lineRule="auto"/>
        <w:ind w:firstLine="420" w:firstLineChars="200"/>
        <w:rPr>
          <w:rFonts w:ascii="宋体"/>
          <w:color w:val="000000"/>
          <w:szCs w:val="21"/>
          <w:highlight w:val="none"/>
        </w:rPr>
      </w:pPr>
      <w:r>
        <w:rPr>
          <w:rFonts w:hint="eastAsia" w:ascii="宋体" w:hAnsi="宋体"/>
          <w:color w:val="000000"/>
          <w:szCs w:val="21"/>
          <w:highlight w:val="none"/>
        </w:rPr>
        <w:t>投标人名称：</w:t>
      </w:r>
      <w:r>
        <w:rPr>
          <w:rFonts w:ascii="宋体" w:hAnsi="宋体"/>
          <w:color w:val="000000"/>
          <w:szCs w:val="21"/>
          <w:highlight w:val="none"/>
        </w:rPr>
        <w:t xml:space="preserve">        (</w:t>
      </w:r>
      <w:r>
        <w:rPr>
          <w:rFonts w:hint="eastAsia" w:ascii="宋体" w:hAnsi="宋体"/>
          <w:color w:val="000000"/>
          <w:szCs w:val="21"/>
          <w:highlight w:val="none"/>
        </w:rPr>
        <w:t>盖章</w:t>
      </w:r>
      <w:r>
        <w:rPr>
          <w:rFonts w:ascii="宋体" w:hAnsi="宋体"/>
          <w:color w:val="000000"/>
          <w:szCs w:val="21"/>
          <w:highlight w:val="none"/>
        </w:rPr>
        <w:t>)</w:t>
      </w:r>
    </w:p>
    <w:p>
      <w:pPr>
        <w:spacing w:line="360" w:lineRule="auto"/>
        <w:ind w:firstLine="420" w:firstLineChars="200"/>
        <w:rPr>
          <w:rFonts w:ascii="宋体"/>
          <w:color w:val="000000"/>
          <w:szCs w:val="21"/>
          <w:highlight w:val="none"/>
        </w:rPr>
      </w:pPr>
      <w:r>
        <w:rPr>
          <w:rFonts w:hint="eastAsia" w:ascii="宋体" w:hAnsi="宋体"/>
          <w:color w:val="000000"/>
          <w:szCs w:val="21"/>
          <w:highlight w:val="none"/>
        </w:rPr>
        <w:t>法定代表人或授权代理人</w:t>
      </w:r>
      <w:r>
        <w:rPr>
          <w:rFonts w:ascii="宋体" w:hAnsi="宋体"/>
          <w:color w:val="000000"/>
          <w:szCs w:val="21"/>
          <w:highlight w:val="none"/>
        </w:rPr>
        <w:t>(</w:t>
      </w:r>
      <w:r>
        <w:rPr>
          <w:rFonts w:hint="eastAsia" w:ascii="宋体" w:hAnsi="宋体"/>
          <w:color w:val="000000"/>
          <w:szCs w:val="21"/>
          <w:highlight w:val="none"/>
        </w:rPr>
        <w:t>签字</w:t>
      </w:r>
      <w:r>
        <w:rPr>
          <w:rFonts w:ascii="宋体" w:hAnsi="宋体"/>
          <w:color w:val="000000"/>
          <w:szCs w:val="21"/>
          <w:highlight w:val="none"/>
        </w:rPr>
        <w:t>)</w:t>
      </w:r>
      <w:r>
        <w:rPr>
          <w:rFonts w:hint="eastAsia" w:ascii="宋体" w:hAnsi="宋体"/>
          <w:color w:val="000000"/>
          <w:szCs w:val="21"/>
          <w:highlight w:val="none"/>
        </w:rPr>
        <w:t>：</w:t>
      </w:r>
    </w:p>
    <w:p>
      <w:pPr>
        <w:spacing w:line="360" w:lineRule="auto"/>
        <w:ind w:firstLine="420" w:firstLineChars="200"/>
        <w:rPr>
          <w:rFonts w:ascii="宋体"/>
          <w:color w:val="000000"/>
          <w:szCs w:val="21"/>
          <w:highlight w:val="none"/>
        </w:rPr>
      </w:pPr>
      <w:r>
        <w:rPr>
          <w:rFonts w:hint="eastAsia" w:ascii="宋体" w:hAnsi="宋体"/>
          <w:color w:val="000000"/>
          <w:szCs w:val="21"/>
          <w:highlight w:val="none"/>
        </w:rPr>
        <w:t>通讯地址：</w:t>
      </w:r>
    </w:p>
    <w:p>
      <w:pPr>
        <w:spacing w:line="360" w:lineRule="auto"/>
        <w:ind w:firstLine="420" w:firstLineChars="200"/>
        <w:rPr>
          <w:rFonts w:ascii="宋体"/>
          <w:color w:val="000000"/>
          <w:szCs w:val="21"/>
          <w:highlight w:val="none"/>
        </w:rPr>
      </w:pPr>
      <w:r>
        <w:rPr>
          <w:rFonts w:hint="eastAsia" w:ascii="宋体" w:hAnsi="宋体"/>
          <w:color w:val="000000"/>
          <w:szCs w:val="21"/>
          <w:highlight w:val="none"/>
        </w:rPr>
        <w:t>邮政编码：</w:t>
      </w:r>
    </w:p>
    <w:p>
      <w:pPr>
        <w:spacing w:line="360" w:lineRule="auto"/>
        <w:ind w:firstLine="420" w:firstLineChars="200"/>
        <w:rPr>
          <w:rFonts w:ascii="宋体"/>
          <w:color w:val="000000"/>
          <w:szCs w:val="21"/>
          <w:highlight w:val="none"/>
        </w:rPr>
      </w:pPr>
      <w:r>
        <w:rPr>
          <w:rFonts w:hint="eastAsia" w:ascii="宋体" w:hAnsi="宋体"/>
          <w:color w:val="000000"/>
          <w:szCs w:val="21"/>
          <w:highlight w:val="none"/>
        </w:rPr>
        <w:t>联系电话：</w:t>
      </w:r>
    </w:p>
    <w:p>
      <w:pPr>
        <w:spacing w:line="360" w:lineRule="auto"/>
        <w:ind w:firstLine="420" w:firstLineChars="200"/>
        <w:rPr>
          <w:rFonts w:ascii="宋体"/>
          <w:color w:val="000000"/>
          <w:szCs w:val="21"/>
          <w:highlight w:val="none"/>
        </w:rPr>
      </w:pPr>
      <w:r>
        <w:rPr>
          <w:rFonts w:hint="eastAsia" w:ascii="宋体" w:hAnsi="宋体"/>
          <w:color w:val="000000"/>
          <w:szCs w:val="21"/>
          <w:highlight w:val="none"/>
        </w:rPr>
        <w:t>传</w:t>
      </w:r>
      <w:r>
        <w:rPr>
          <w:rFonts w:ascii="宋体" w:hAnsi="宋体"/>
          <w:color w:val="000000"/>
          <w:szCs w:val="21"/>
          <w:highlight w:val="none"/>
        </w:rPr>
        <w:t xml:space="preserve">    </w:t>
      </w:r>
      <w:r>
        <w:rPr>
          <w:rFonts w:hint="eastAsia" w:ascii="宋体" w:hAnsi="宋体"/>
          <w:color w:val="000000"/>
          <w:szCs w:val="21"/>
          <w:highlight w:val="none"/>
        </w:rPr>
        <w:t>真：</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日</w:t>
      </w:r>
      <w:r>
        <w:rPr>
          <w:rFonts w:ascii="宋体" w:hAnsi="宋体"/>
          <w:color w:val="000000"/>
          <w:szCs w:val="21"/>
          <w:highlight w:val="none"/>
        </w:rPr>
        <w:t xml:space="preserve">    </w:t>
      </w:r>
      <w:r>
        <w:rPr>
          <w:rFonts w:hint="eastAsia" w:ascii="宋体" w:hAnsi="宋体"/>
          <w:color w:val="000000"/>
          <w:szCs w:val="21"/>
          <w:highlight w:val="none"/>
        </w:rPr>
        <w:t>期：</w:t>
      </w:r>
    </w:p>
    <w:p>
      <w:pPr>
        <w:spacing w:line="360" w:lineRule="auto"/>
        <w:ind w:firstLine="420" w:firstLineChars="200"/>
        <w:rPr>
          <w:rFonts w:ascii="宋体" w:hAnsi="宋体"/>
          <w:color w:val="000000"/>
          <w:szCs w:val="21"/>
          <w:highlight w:val="none"/>
        </w:rPr>
      </w:pPr>
    </w:p>
    <w:p>
      <w:pPr>
        <w:spacing w:line="360" w:lineRule="auto"/>
        <w:ind w:firstLine="420" w:firstLineChars="200"/>
        <w:rPr>
          <w:rFonts w:ascii="宋体" w:hAnsi="宋体"/>
          <w:color w:val="000000"/>
          <w:szCs w:val="21"/>
          <w:highlight w:val="none"/>
        </w:rPr>
      </w:pPr>
    </w:p>
    <w:p>
      <w:pPr>
        <w:spacing w:line="360" w:lineRule="auto"/>
        <w:ind w:firstLine="420" w:firstLineChars="200"/>
        <w:rPr>
          <w:rFonts w:ascii="宋体" w:hAnsi="宋体"/>
          <w:color w:val="000000"/>
          <w:szCs w:val="21"/>
          <w:highlight w:val="none"/>
        </w:rPr>
      </w:pPr>
    </w:p>
    <w:p>
      <w:pPr>
        <w:pStyle w:val="3"/>
        <w:spacing w:line="400" w:lineRule="exact"/>
        <w:jc w:val="center"/>
        <w:rPr>
          <w:rFonts w:ascii="宋体" w:hAnsi="宋体" w:eastAsia="宋体"/>
          <w:color w:val="000000"/>
          <w:sz w:val="32"/>
          <w:szCs w:val="32"/>
          <w:highlight w:val="none"/>
        </w:rPr>
      </w:pPr>
      <w:bookmarkStart w:id="478" w:name="_Toc317509429"/>
      <w:bookmarkStart w:id="479" w:name="_Toc217446083"/>
      <w:bookmarkStart w:id="480" w:name="_Toc325464858"/>
      <w:r>
        <w:rPr>
          <w:rFonts w:hint="eastAsia" w:ascii="宋体" w:hAnsi="宋体" w:eastAsia="宋体"/>
          <w:color w:val="000000"/>
          <w:sz w:val="21"/>
          <w:szCs w:val="21"/>
          <w:highlight w:val="none"/>
        </w:rPr>
        <w:br w:type="page"/>
      </w:r>
      <w:bookmarkStart w:id="481" w:name="_Toc564"/>
      <w:bookmarkStart w:id="482" w:name="_Toc5650"/>
      <w:bookmarkStart w:id="483" w:name="_Toc9193"/>
      <w:bookmarkStart w:id="484" w:name="_Toc14446"/>
      <w:bookmarkStart w:id="485" w:name="_Toc339565704"/>
      <w:bookmarkStart w:id="486" w:name="_Toc50654844"/>
      <w:r>
        <w:rPr>
          <w:rFonts w:hint="eastAsia" w:ascii="宋体" w:hAnsi="宋体" w:eastAsia="宋体"/>
          <w:color w:val="000000"/>
          <w:sz w:val="32"/>
          <w:szCs w:val="32"/>
          <w:highlight w:val="none"/>
        </w:rPr>
        <w:t>二、授权委托书</w:t>
      </w:r>
      <w:bookmarkEnd w:id="478"/>
      <w:bookmarkEnd w:id="479"/>
      <w:bookmarkEnd w:id="480"/>
      <w:bookmarkEnd w:id="481"/>
      <w:bookmarkEnd w:id="482"/>
      <w:bookmarkEnd w:id="483"/>
      <w:bookmarkEnd w:id="484"/>
      <w:bookmarkEnd w:id="485"/>
      <w:r>
        <w:rPr>
          <w:rFonts w:hint="eastAsia" w:ascii="宋体" w:hAnsi="宋体" w:eastAsia="宋体"/>
          <w:color w:val="000000"/>
          <w:sz w:val="32"/>
          <w:szCs w:val="32"/>
          <w:highlight w:val="none"/>
        </w:rPr>
        <w:t>或法定</w:t>
      </w:r>
      <w:r>
        <w:rPr>
          <w:rFonts w:ascii="宋体" w:hAnsi="宋体" w:eastAsia="宋体"/>
          <w:color w:val="000000"/>
          <w:sz w:val="32"/>
          <w:szCs w:val="32"/>
          <w:highlight w:val="none"/>
        </w:rPr>
        <w:t>代表人</w:t>
      </w:r>
      <w:r>
        <w:rPr>
          <w:rFonts w:hint="eastAsia" w:ascii="宋体" w:hAnsi="宋体" w:eastAsia="宋体"/>
          <w:color w:val="000000"/>
          <w:sz w:val="32"/>
          <w:szCs w:val="32"/>
          <w:highlight w:val="none"/>
        </w:rPr>
        <w:t>身份</w:t>
      </w:r>
      <w:r>
        <w:rPr>
          <w:rFonts w:ascii="宋体" w:hAnsi="宋体" w:eastAsia="宋体"/>
          <w:color w:val="000000"/>
          <w:sz w:val="32"/>
          <w:szCs w:val="32"/>
          <w:highlight w:val="none"/>
        </w:rPr>
        <w:t>证明</w:t>
      </w:r>
      <w:bookmarkEnd w:id="486"/>
    </w:p>
    <w:p>
      <w:pPr>
        <w:spacing w:line="400" w:lineRule="exact"/>
        <w:jc w:val="center"/>
        <w:rPr>
          <w:rFonts w:ascii="宋体" w:hAnsi="宋体"/>
          <w:b/>
          <w:color w:val="000000"/>
          <w:sz w:val="30"/>
          <w:szCs w:val="30"/>
          <w:highlight w:val="none"/>
        </w:rPr>
      </w:pPr>
      <w:bookmarkStart w:id="487" w:name="_Toc217446085"/>
      <w:r>
        <w:rPr>
          <w:rFonts w:hint="eastAsia" w:ascii="宋体" w:hAnsi="宋体"/>
          <w:b/>
          <w:color w:val="000000"/>
          <w:sz w:val="30"/>
          <w:szCs w:val="30"/>
          <w:highlight w:val="none"/>
        </w:rPr>
        <w:t>法定代表人授权书</w:t>
      </w:r>
    </w:p>
    <w:p>
      <w:pPr>
        <w:spacing w:line="400" w:lineRule="exact"/>
        <w:rPr>
          <w:rFonts w:ascii="宋体" w:hAnsi="宋体"/>
          <w:color w:val="000000"/>
          <w:szCs w:val="21"/>
          <w:highlight w:val="none"/>
          <w:u w:val="single"/>
        </w:rPr>
      </w:pPr>
    </w:p>
    <w:p>
      <w:pPr>
        <w:spacing w:line="400" w:lineRule="exact"/>
        <w:rPr>
          <w:rFonts w:ascii="宋体" w:hAnsi="宋体"/>
          <w:color w:val="000000"/>
          <w:szCs w:val="21"/>
          <w:highlight w:val="none"/>
        </w:rPr>
      </w:pPr>
      <w:r>
        <w:rPr>
          <w:rFonts w:hint="eastAsia" w:ascii="宋体" w:hAnsi="宋体" w:cs="宋体"/>
          <w:szCs w:val="21"/>
          <w:highlight w:val="none"/>
        </w:rPr>
        <w:t>四川交投物流有限公司</w:t>
      </w:r>
      <w:r>
        <w:rPr>
          <w:rFonts w:hint="eastAsia" w:ascii="宋体" w:hAnsi="宋体"/>
          <w:color w:val="000000"/>
          <w:szCs w:val="21"/>
          <w:highlight w:val="none"/>
        </w:rPr>
        <w:t>：</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本授权声明： </w:t>
      </w:r>
      <w:r>
        <w:rPr>
          <w:rFonts w:hint="eastAsia" w:ascii="宋体" w:hAnsi="宋体"/>
          <w:color w:val="000000"/>
          <w:szCs w:val="21"/>
          <w:highlight w:val="none"/>
          <w:u w:val="single"/>
        </w:rPr>
        <w:t xml:space="preserve">          (投标人名称)      </w:t>
      </w:r>
      <w:r>
        <w:rPr>
          <w:rFonts w:hint="eastAsia" w:ascii="宋体" w:hAnsi="宋体"/>
          <w:color w:val="000000"/>
          <w:szCs w:val="21"/>
          <w:highlight w:val="none"/>
        </w:rPr>
        <w:t xml:space="preserve">  </w:t>
      </w:r>
      <w:r>
        <w:rPr>
          <w:rFonts w:hint="eastAsia" w:ascii="宋体" w:hAnsi="宋体"/>
          <w:color w:val="000000"/>
          <w:szCs w:val="21"/>
          <w:highlight w:val="none"/>
          <w:u w:val="single"/>
        </w:rPr>
        <w:t xml:space="preserve">  (法定代表人姓名、职务)</w:t>
      </w:r>
      <w:r>
        <w:rPr>
          <w:rFonts w:hint="eastAsia" w:ascii="宋体" w:hAnsi="宋体"/>
          <w:color w:val="000000"/>
          <w:szCs w:val="21"/>
          <w:highlight w:val="none"/>
        </w:rPr>
        <w:t xml:space="preserve">授权  </w:t>
      </w:r>
      <w:r>
        <w:rPr>
          <w:rFonts w:hint="eastAsia" w:ascii="宋体" w:hAnsi="宋体"/>
          <w:color w:val="000000"/>
          <w:szCs w:val="21"/>
          <w:highlight w:val="none"/>
          <w:u w:val="single"/>
        </w:rPr>
        <w:t>(授权代理人姓名、职务、身份证号码)</w:t>
      </w:r>
      <w:r>
        <w:rPr>
          <w:rFonts w:hint="eastAsia" w:ascii="宋体" w:hAnsi="宋体"/>
          <w:color w:val="000000"/>
          <w:szCs w:val="21"/>
          <w:highlight w:val="none"/>
        </w:rPr>
        <w:t>为我方“</w:t>
      </w:r>
      <w:r>
        <w:rPr>
          <w:rFonts w:hint="eastAsia" w:ascii="宋体" w:hAnsi="宋体"/>
          <w:szCs w:val="21"/>
          <w:highlight w:val="none"/>
        </w:rPr>
        <w:t>G4216线屏山新市至金阳段、金阳至宁南段高速公路项目2021～</w:t>
      </w:r>
      <w:r>
        <w:rPr>
          <w:rFonts w:ascii="宋体" w:hAnsi="宋体"/>
          <w:szCs w:val="21"/>
          <w:highlight w:val="none"/>
        </w:rPr>
        <w:t>2022</w:t>
      </w:r>
      <w:r>
        <w:rPr>
          <w:rFonts w:hint="eastAsia" w:ascii="宋体" w:hAnsi="宋体"/>
          <w:szCs w:val="21"/>
          <w:highlight w:val="none"/>
        </w:rPr>
        <w:t>年度</w:t>
      </w:r>
      <w:r>
        <w:rPr>
          <w:rFonts w:hint="eastAsia" w:ascii="宋体" w:hAnsi="宋体" w:cs="宋体"/>
          <w:szCs w:val="21"/>
          <w:highlight w:val="none"/>
        </w:rPr>
        <w:t>钢材船舶运输服务（第三次）招标</w:t>
      </w:r>
      <w:r>
        <w:rPr>
          <w:rFonts w:hint="eastAsia" w:ascii="宋体" w:hAnsi="宋体"/>
          <w:color w:val="000000"/>
          <w:szCs w:val="21"/>
          <w:highlight w:val="none"/>
        </w:rPr>
        <w:t>”第</w:t>
      </w:r>
      <w:r>
        <w:rPr>
          <w:rFonts w:hint="eastAsia" w:ascii="宋体" w:hAnsi="宋体"/>
          <w:color w:val="000000"/>
          <w:szCs w:val="21"/>
          <w:highlight w:val="none"/>
          <w:u w:val="single"/>
        </w:rPr>
        <w:t>GCYS</w:t>
      </w:r>
      <w:r>
        <w:rPr>
          <w:rFonts w:hint="eastAsia" w:ascii="宋体" w:hAnsi="宋体"/>
          <w:color w:val="000000"/>
          <w:szCs w:val="21"/>
          <w:highlight w:val="none"/>
        </w:rPr>
        <w:t>标段谈判活动的合法代表，以我方名义全权处理该项目有关谈判、报价、签订合同以及执行合同等一切事宜。</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特此声明。</w:t>
      </w:r>
    </w:p>
    <w:p>
      <w:pPr>
        <w:spacing w:line="400" w:lineRule="exact"/>
        <w:ind w:firstLine="420" w:firstLineChars="200"/>
        <w:rPr>
          <w:rFonts w:ascii="宋体" w:hAnsi="宋体"/>
          <w:color w:val="000000"/>
          <w:szCs w:val="21"/>
          <w:highlight w:val="none"/>
        </w:rPr>
      </w:pPr>
    </w:p>
    <w:p>
      <w:pPr>
        <w:spacing w:line="400" w:lineRule="exact"/>
        <w:ind w:firstLine="420" w:firstLineChars="200"/>
        <w:rPr>
          <w:rFonts w:ascii="宋体" w:hAnsi="宋体"/>
          <w:color w:val="000000"/>
          <w:szCs w:val="21"/>
          <w:highlight w:val="none"/>
        </w:rPr>
      </w:pP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附：法定代表人和授权代理人有效的身份证复印件。</w:t>
      </w:r>
    </w:p>
    <w:p>
      <w:pPr>
        <w:spacing w:line="400" w:lineRule="exact"/>
        <w:ind w:firstLine="420" w:firstLineChars="200"/>
        <w:rPr>
          <w:rFonts w:ascii="宋体" w:hAnsi="宋体"/>
          <w:color w:val="000000"/>
          <w:szCs w:val="21"/>
          <w:highlight w:val="none"/>
        </w:rPr>
      </w:pPr>
    </w:p>
    <w:p>
      <w:pPr>
        <w:spacing w:line="400" w:lineRule="exact"/>
        <w:ind w:firstLine="420" w:firstLineChars="200"/>
        <w:rPr>
          <w:rFonts w:ascii="宋体" w:hAnsi="宋体"/>
          <w:color w:val="000000"/>
          <w:szCs w:val="21"/>
          <w:highlight w:val="none"/>
        </w:rPr>
      </w:pP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法定代表人签字：</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授权代理人签字：</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投标人名称：         (盖章)</w:t>
      </w:r>
    </w:p>
    <w:p>
      <w:p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rPr>
        <w:t>日    期：</w:t>
      </w:r>
    </w:p>
    <w:p>
      <w:pPr>
        <w:jc w:val="center"/>
        <w:rPr>
          <w:rFonts w:ascii="宋体" w:hAnsi="宋体"/>
          <w:b/>
          <w:color w:val="000000"/>
          <w:szCs w:val="21"/>
          <w:highlight w:val="none"/>
        </w:rPr>
      </w:pPr>
    </w:p>
    <w:p>
      <w:pPr>
        <w:spacing w:line="276" w:lineRule="auto"/>
        <w:ind w:firstLine="105" w:firstLineChars="50"/>
        <w:rPr>
          <w:rFonts w:ascii="宋体" w:hAnsi="宋体"/>
          <w:color w:val="000000"/>
          <w:szCs w:val="21"/>
          <w:highlight w:val="none"/>
        </w:rPr>
      </w:pPr>
      <w:bookmarkStart w:id="488" w:name="_Toc317509430"/>
      <w:bookmarkStart w:id="489" w:name="_Toc325464859"/>
      <w:r>
        <w:rPr>
          <w:rFonts w:hint="eastAsia" w:ascii="宋体" w:hAnsi="宋体"/>
          <w:color w:val="000000"/>
          <w:szCs w:val="21"/>
          <w:highlight w:val="none"/>
        </w:rPr>
        <w:t>注：（1）本授权书在响应文件签署人不是法定代表人时办理，如由法定代表人亲自签署并参与谈判相关活动，则不需办理本授权书。</w:t>
      </w:r>
    </w:p>
    <w:p>
      <w:pPr>
        <w:spacing w:line="276" w:lineRule="auto"/>
        <w:ind w:firstLine="411" w:firstLineChars="196"/>
        <w:rPr>
          <w:rFonts w:ascii="宋体" w:hAnsi="宋体"/>
          <w:color w:val="000000"/>
          <w:szCs w:val="21"/>
          <w:highlight w:val="none"/>
        </w:rPr>
      </w:pPr>
      <w:r>
        <w:rPr>
          <w:rFonts w:hint="eastAsia" w:ascii="宋体" w:hAnsi="宋体"/>
          <w:color w:val="000000"/>
          <w:szCs w:val="21"/>
          <w:highlight w:val="none"/>
        </w:rPr>
        <w:t>（2）授权代理人只能是一个人，且不能再授予他人，否则采购人将认为其授权无效。</w:t>
      </w:r>
    </w:p>
    <w:p>
      <w:pPr>
        <w:spacing w:line="276" w:lineRule="auto"/>
        <w:ind w:firstLine="411" w:firstLineChars="196"/>
        <w:rPr>
          <w:rFonts w:ascii="宋体" w:hAnsi="宋体"/>
          <w:color w:val="000000"/>
          <w:highlight w:val="none"/>
        </w:rPr>
      </w:pPr>
      <w:r>
        <w:rPr>
          <w:rFonts w:hint="eastAsia" w:ascii="宋体" w:hAnsi="宋体"/>
          <w:color w:val="000000"/>
          <w:szCs w:val="21"/>
          <w:highlight w:val="none"/>
        </w:rPr>
        <w:t>（3）授权书后须附法定代表人和授权代理人第二代身份证复印件（正、反面），并保证清晰有效。</w:t>
      </w:r>
    </w:p>
    <w:p>
      <w:pPr>
        <w:spacing w:line="276" w:lineRule="auto"/>
        <w:ind w:firstLine="357" w:firstLineChars="170"/>
        <w:rPr>
          <w:rFonts w:ascii="宋体" w:hAnsi="宋体"/>
          <w:color w:val="000000"/>
          <w:szCs w:val="21"/>
          <w:highlight w:val="none"/>
        </w:rPr>
      </w:pPr>
      <w:r>
        <w:rPr>
          <w:rFonts w:hint="eastAsia" w:ascii="宋体" w:hAnsi="宋体"/>
          <w:color w:val="000000"/>
          <w:szCs w:val="21"/>
          <w:highlight w:val="none"/>
        </w:rPr>
        <w:t>（4）法定代表人授权书应加盖投标人公章，授权人和授权代理人均须在授权书上签字，不得使用签名章代替。</w:t>
      </w:r>
    </w:p>
    <w:p>
      <w:pPr>
        <w:spacing w:line="276" w:lineRule="auto"/>
        <w:ind w:firstLine="357" w:firstLineChars="170"/>
        <w:rPr>
          <w:rFonts w:ascii="宋体" w:hAnsi="宋体"/>
          <w:b/>
          <w:color w:val="000000"/>
          <w:szCs w:val="21"/>
          <w:highlight w:val="none"/>
        </w:rPr>
      </w:pPr>
      <w:r>
        <w:rPr>
          <w:rFonts w:hint="eastAsia" w:hAnsi="宋体" w:cs="宋体"/>
          <w:highlight w:val="none"/>
        </w:rPr>
        <w:t>（</w:t>
      </w:r>
      <w:r>
        <w:rPr>
          <w:rFonts w:hAnsi="宋体" w:cs="宋体"/>
          <w:highlight w:val="none"/>
        </w:rPr>
        <w:t>5</w:t>
      </w:r>
      <w:r>
        <w:rPr>
          <w:rFonts w:hint="eastAsia" w:hAnsi="宋体" w:cs="宋体"/>
          <w:highlight w:val="none"/>
        </w:rPr>
        <w:t>）授权委托书的时间应与法定代表人或其委托代理人签署谈判函的时间同日或在其之前。</w:t>
      </w:r>
    </w:p>
    <w:p>
      <w:pPr>
        <w:spacing w:line="400" w:lineRule="exact"/>
        <w:ind w:firstLine="478" w:firstLineChars="170"/>
        <w:rPr>
          <w:rFonts w:ascii="宋体" w:hAnsi="宋体"/>
          <w:b/>
          <w:color w:val="000000"/>
          <w:sz w:val="28"/>
          <w:szCs w:val="28"/>
          <w:highlight w:val="none"/>
        </w:rPr>
      </w:pPr>
    </w:p>
    <w:tbl>
      <w:tblPr>
        <w:tblStyle w:val="42"/>
        <w:tblW w:w="88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4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44" w:hRule="atLeast"/>
        </w:trPr>
        <w:tc>
          <w:tcPr>
            <w:tcW w:w="4441" w:type="dxa"/>
          </w:tcPr>
          <w:p>
            <w:pPr>
              <w:pStyle w:val="3"/>
              <w:spacing w:line="400" w:lineRule="exact"/>
              <w:jc w:val="center"/>
              <w:rPr>
                <w:rFonts w:ascii="宋体" w:hAnsi="宋体" w:eastAsia="宋体"/>
                <w:color w:val="000000"/>
                <w:kern w:val="2"/>
                <w:sz w:val="30"/>
                <w:szCs w:val="30"/>
                <w:highlight w:val="none"/>
              </w:rPr>
            </w:pPr>
            <w:bookmarkStart w:id="490" w:name="_Toc50654845"/>
            <w:r>
              <w:rPr>
                <w:rFonts w:hint="eastAsia" w:ascii="宋体" w:hAnsi="宋体" w:eastAsia="宋体"/>
                <w:color w:val="000000"/>
                <w:kern w:val="2"/>
                <w:sz w:val="30"/>
                <w:szCs w:val="30"/>
                <w:highlight w:val="none"/>
              </w:rPr>
              <w:t>法定代表人</w:t>
            </w:r>
            <w:bookmarkEnd w:id="490"/>
          </w:p>
          <w:p>
            <w:pPr>
              <w:pStyle w:val="4"/>
              <w:jc w:val="center"/>
              <w:rPr>
                <w:rFonts w:ascii="Calibri" w:hAnsi="Calibri"/>
                <w:color w:val="000000"/>
                <w:kern w:val="2"/>
                <w:sz w:val="30"/>
                <w:szCs w:val="30"/>
                <w:highlight w:val="none"/>
              </w:rPr>
            </w:pPr>
            <w:r>
              <w:rPr>
                <w:rFonts w:hint="eastAsia" w:ascii="宋体" w:hAnsi="宋体"/>
                <w:color w:val="000000"/>
                <w:kern w:val="2"/>
                <w:sz w:val="30"/>
                <w:szCs w:val="30"/>
                <w:highlight w:val="none"/>
              </w:rPr>
              <w:t>身份证</w:t>
            </w:r>
            <w:r>
              <w:rPr>
                <w:rFonts w:hint="eastAsia" w:ascii="Calibri" w:hAnsi="Calibri"/>
                <w:color w:val="000000"/>
                <w:kern w:val="2"/>
                <w:sz w:val="30"/>
                <w:szCs w:val="30"/>
                <w:highlight w:val="none"/>
              </w:rPr>
              <w:t>复印件</w:t>
            </w:r>
          </w:p>
        </w:tc>
        <w:tc>
          <w:tcPr>
            <w:tcW w:w="4441" w:type="dxa"/>
          </w:tcPr>
          <w:p>
            <w:pPr>
              <w:pStyle w:val="3"/>
              <w:spacing w:line="400" w:lineRule="exact"/>
              <w:jc w:val="center"/>
              <w:rPr>
                <w:rFonts w:ascii="宋体" w:hAnsi="宋体" w:eastAsia="宋体"/>
                <w:color w:val="000000"/>
                <w:kern w:val="2"/>
                <w:sz w:val="30"/>
                <w:szCs w:val="30"/>
                <w:highlight w:val="none"/>
              </w:rPr>
            </w:pPr>
            <w:bookmarkStart w:id="491" w:name="_Toc50654846"/>
            <w:r>
              <w:rPr>
                <w:rFonts w:hint="eastAsia" w:ascii="宋体" w:hAnsi="宋体" w:eastAsia="宋体"/>
                <w:color w:val="000000"/>
                <w:kern w:val="2"/>
                <w:sz w:val="30"/>
                <w:szCs w:val="30"/>
                <w:highlight w:val="none"/>
              </w:rPr>
              <w:t>授权</w:t>
            </w:r>
            <w:r>
              <w:rPr>
                <w:rFonts w:hint="eastAsia" w:ascii="宋体" w:hAnsi="宋体"/>
                <w:b w:val="0"/>
                <w:color w:val="000000"/>
                <w:kern w:val="2"/>
                <w:sz w:val="30"/>
                <w:szCs w:val="30"/>
                <w:highlight w:val="none"/>
              </w:rPr>
              <w:t>代理人</w:t>
            </w:r>
            <w:bookmarkEnd w:id="491"/>
            <w:r>
              <w:rPr>
                <w:rFonts w:hint="eastAsia" w:ascii="宋体" w:hAnsi="宋体" w:eastAsia="宋体"/>
                <w:color w:val="000000"/>
                <w:kern w:val="2"/>
                <w:sz w:val="30"/>
                <w:szCs w:val="30"/>
                <w:highlight w:val="none"/>
              </w:rPr>
              <w:t xml:space="preserve"> </w:t>
            </w:r>
          </w:p>
          <w:p>
            <w:pPr>
              <w:pStyle w:val="4"/>
              <w:jc w:val="center"/>
              <w:rPr>
                <w:rFonts w:ascii="Calibri" w:hAnsi="Calibri"/>
                <w:color w:val="000000"/>
                <w:kern w:val="2"/>
                <w:sz w:val="30"/>
                <w:szCs w:val="30"/>
                <w:highlight w:val="none"/>
              </w:rPr>
            </w:pPr>
            <w:r>
              <w:rPr>
                <w:rFonts w:hint="eastAsia" w:ascii="宋体" w:hAnsi="宋体"/>
                <w:color w:val="000000"/>
                <w:kern w:val="2"/>
                <w:sz w:val="30"/>
                <w:szCs w:val="30"/>
                <w:highlight w:val="none"/>
              </w:rPr>
              <w:t>身份证</w:t>
            </w:r>
            <w:r>
              <w:rPr>
                <w:rFonts w:hint="eastAsia" w:ascii="Calibri" w:hAnsi="Calibri"/>
                <w:color w:val="000000"/>
                <w:kern w:val="2"/>
                <w:sz w:val="30"/>
                <w:szCs w:val="30"/>
                <w:highlight w:val="none"/>
              </w:rPr>
              <w:t>复印件</w:t>
            </w:r>
          </w:p>
        </w:tc>
      </w:tr>
    </w:tbl>
    <w:p>
      <w:pPr>
        <w:pStyle w:val="21"/>
        <w:spacing w:line="360" w:lineRule="auto"/>
        <w:jc w:val="center"/>
        <w:rPr>
          <w:rFonts w:hAnsi="宋体"/>
          <w:b/>
          <w:color w:val="000000"/>
          <w:kern w:val="2"/>
          <w:sz w:val="30"/>
          <w:szCs w:val="30"/>
          <w:highlight w:val="none"/>
        </w:rPr>
      </w:pPr>
      <w:r>
        <w:rPr>
          <w:rFonts w:hint="eastAsia" w:hAnsi="宋体"/>
          <w:color w:val="000000"/>
          <w:sz w:val="24"/>
          <w:highlight w:val="none"/>
        </w:rPr>
        <w:br w:type="page"/>
      </w:r>
      <w:bookmarkStart w:id="492" w:name="_Toc20669"/>
      <w:bookmarkStart w:id="493" w:name="_Toc11604"/>
      <w:bookmarkStart w:id="494" w:name="_Toc339565705"/>
      <w:bookmarkStart w:id="495" w:name="_Toc261"/>
      <w:bookmarkStart w:id="496" w:name="_Toc27469"/>
      <w:r>
        <w:rPr>
          <w:rFonts w:hint="eastAsia" w:hAnsi="宋体"/>
          <w:b/>
          <w:color w:val="000000"/>
          <w:kern w:val="2"/>
          <w:sz w:val="30"/>
          <w:szCs w:val="30"/>
          <w:highlight w:val="none"/>
        </w:rPr>
        <w:t>法定代表人身份证明</w:t>
      </w:r>
    </w:p>
    <w:p>
      <w:pPr>
        <w:spacing w:line="360" w:lineRule="auto"/>
        <w:rPr>
          <w:sz w:val="24"/>
          <w:highlight w:val="none"/>
        </w:rPr>
      </w:pPr>
    </w:p>
    <w:p>
      <w:pPr>
        <w:spacing w:line="360" w:lineRule="auto"/>
        <w:rPr>
          <w:highlight w:val="none"/>
        </w:rPr>
      </w:pPr>
      <w:r>
        <w:rPr>
          <w:rFonts w:hint="eastAsia"/>
          <w:highlight w:val="none"/>
        </w:rPr>
        <w:t xml:space="preserve">投标人名称： </w:t>
      </w:r>
      <w:r>
        <w:rPr>
          <w:rFonts w:hint="eastAsia" w:ascii="宋体" w:hAnsi="宋体"/>
          <w:highlight w:val="none"/>
          <w:u w:val="single"/>
        </w:rPr>
        <w:t xml:space="preserve">                        </w:t>
      </w:r>
      <w:r>
        <w:rPr>
          <w:rFonts w:hint="eastAsia"/>
          <w:highlight w:val="none"/>
          <w:u w:val="single"/>
        </w:rPr>
        <w:t xml:space="preserve">    </w:t>
      </w:r>
      <w:r>
        <w:rPr>
          <w:rFonts w:hint="eastAsia" w:ascii="宋体" w:hAnsi="宋体"/>
          <w:highlight w:val="none"/>
          <w:u w:val="single"/>
        </w:rPr>
        <w:t xml:space="preserve">                                </w:t>
      </w:r>
      <w:r>
        <w:rPr>
          <w:rFonts w:hint="eastAsia"/>
          <w:highlight w:val="none"/>
        </w:rPr>
        <w:t xml:space="preserve">                               </w:t>
      </w:r>
    </w:p>
    <w:p>
      <w:pPr>
        <w:spacing w:line="360" w:lineRule="auto"/>
        <w:rPr>
          <w:highlight w:val="none"/>
          <w:u w:val="single"/>
        </w:rPr>
      </w:pPr>
      <w:r>
        <w:rPr>
          <w:rFonts w:hint="eastAsia"/>
          <w:highlight w:val="none"/>
        </w:rPr>
        <w:t>姓名：</w:t>
      </w:r>
      <w:r>
        <w:rPr>
          <w:rFonts w:hint="eastAsia"/>
          <w:highlight w:val="none"/>
          <w:u w:val="single"/>
        </w:rPr>
        <w:t>（法定代表人亲笔签字）</w:t>
      </w:r>
      <w:r>
        <w:rPr>
          <w:rFonts w:hint="eastAsia"/>
          <w:highlight w:val="none"/>
        </w:rPr>
        <w:t>性别：</w:t>
      </w:r>
      <w:r>
        <w:rPr>
          <w:rFonts w:hint="eastAsia"/>
          <w:highlight w:val="none"/>
          <w:u w:val="single"/>
        </w:rPr>
        <w:t xml:space="preserve">    </w:t>
      </w:r>
      <w:r>
        <w:rPr>
          <w:rFonts w:hint="eastAsia"/>
          <w:highlight w:val="none"/>
        </w:rPr>
        <w:t>年龄：</w:t>
      </w:r>
      <w:r>
        <w:rPr>
          <w:rFonts w:hint="eastAsia"/>
          <w:highlight w:val="none"/>
          <w:u w:val="single"/>
        </w:rPr>
        <w:t xml:space="preserve">     </w:t>
      </w:r>
      <w:r>
        <w:rPr>
          <w:rFonts w:hint="eastAsia"/>
          <w:highlight w:val="none"/>
        </w:rPr>
        <w:t>职务：</w:t>
      </w:r>
      <w:r>
        <w:rPr>
          <w:rFonts w:hint="eastAsia"/>
          <w:highlight w:val="none"/>
          <w:u w:val="single"/>
        </w:rPr>
        <w:t xml:space="preserve">                  </w:t>
      </w:r>
    </w:p>
    <w:p>
      <w:pPr>
        <w:spacing w:line="360" w:lineRule="auto"/>
        <w:rPr>
          <w:highlight w:val="none"/>
        </w:rPr>
      </w:pPr>
      <w:r>
        <w:rPr>
          <w:rFonts w:hint="eastAsia"/>
          <w:highlight w:val="none"/>
        </w:rPr>
        <w:t>系（投标人名称）的法定代表人。</w:t>
      </w:r>
    </w:p>
    <w:p>
      <w:pPr>
        <w:adjustRightInd w:val="0"/>
        <w:snapToGrid w:val="0"/>
        <w:spacing w:line="360" w:lineRule="auto"/>
        <w:ind w:firstLine="420"/>
        <w:rPr>
          <w:szCs w:val="21"/>
          <w:highlight w:val="none"/>
        </w:rPr>
      </w:pPr>
    </w:p>
    <w:p>
      <w:pPr>
        <w:adjustRightInd w:val="0"/>
        <w:snapToGrid w:val="0"/>
        <w:spacing w:line="360" w:lineRule="auto"/>
        <w:ind w:firstLine="420"/>
        <w:rPr>
          <w:szCs w:val="21"/>
          <w:highlight w:val="none"/>
        </w:rPr>
      </w:pPr>
      <w:r>
        <w:rPr>
          <w:rFonts w:hint="eastAsia"/>
          <w:szCs w:val="21"/>
          <w:highlight w:val="none"/>
        </w:rPr>
        <w:t>特此证明。</w:t>
      </w:r>
    </w:p>
    <w:p>
      <w:pPr>
        <w:adjustRightInd w:val="0"/>
        <w:snapToGrid w:val="0"/>
        <w:spacing w:line="360" w:lineRule="auto"/>
        <w:ind w:firstLine="420"/>
        <w:rPr>
          <w:rFonts w:ascii="宋体" w:hAnsi="宋体"/>
          <w:szCs w:val="21"/>
          <w:highlight w:val="none"/>
        </w:rPr>
      </w:pPr>
      <w:r>
        <w:rPr>
          <w:rFonts w:hint="eastAsia" w:ascii="宋体" w:hAnsi="宋体"/>
          <w:szCs w:val="21"/>
          <w:highlight w:val="none"/>
        </w:rPr>
        <w:t>附：</w:t>
      </w:r>
      <w:r>
        <w:rPr>
          <w:rFonts w:hint="eastAsia" w:hAnsi="宋体"/>
          <w:b/>
          <w:highlight w:val="none"/>
        </w:rPr>
        <w:t>法定代表人身份证影印件（黑白或彩色）</w:t>
      </w:r>
    </w:p>
    <w:p>
      <w:pPr>
        <w:adjustRightInd w:val="0"/>
        <w:snapToGrid w:val="0"/>
        <w:spacing w:line="360" w:lineRule="auto"/>
        <w:ind w:firstLine="420"/>
        <w:rPr>
          <w:szCs w:val="21"/>
          <w:highlight w:val="none"/>
        </w:rPr>
      </w:pPr>
    </w:p>
    <w:p>
      <w:pPr>
        <w:adjustRightInd w:val="0"/>
        <w:snapToGrid w:val="0"/>
        <w:spacing w:line="360" w:lineRule="auto"/>
        <w:ind w:firstLine="420"/>
        <w:rPr>
          <w:szCs w:val="21"/>
          <w:highlight w:val="none"/>
        </w:rPr>
      </w:pPr>
    </w:p>
    <w:p>
      <w:pPr>
        <w:adjustRightInd w:val="0"/>
        <w:snapToGrid w:val="0"/>
        <w:spacing w:line="360" w:lineRule="auto"/>
        <w:ind w:firstLine="3885" w:firstLineChars="1850"/>
        <w:rPr>
          <w:szCs w:val="21"/>
          <w:highlight w:val="none"/>
        </w:rPr>
      </w:pPr>
      <w:r>
        <w:rPr>
          <w:rFonts w:hint="eastAsia"/>
          <w:szCs w:val="21"/>
          <w:highlight w:val="none"/>
        </w:rPr>
        <w:t>投标人：</w:t>
      </w:r>
      <w:r>
        <w:rPr>
          <w:rFonts w:hint="eastAsia"/>
          <w:szCs w:val="21"/>
          <w:highlight w:val="none"/>
          <w:u w:val="single"/>
        </w:rPr>
        <w:t>（全称）</w:t>
      </w:r>
      <w:r>
        <w:rPr>
          <w:rFonts w:hint="eastAsia"/>
          <w:szCs w:val="21"/>
          <w:highlight w:val="none"/>
        </w:rPr>
        <w:t>（盖单位章）</w:t>
      </w:r>
    </w:p>
    <w:p>
      <w:pPr>
        <w:spacing w:line="360" w:lineRule="auto"/>
        <w:ind w:firstLine="4393" w:firstLineChars="2092"/>
        <w:jc w:val="left"/>
        <w:rPr>
          <w:szCs w:val="21"/>
          <w:highlight w:val="none"/>
        </w:rPr>
      </w:pPr>
      <w:r>
        <w:rPr>
          <w:rFonts w:hint="eastAsia"/>
          <w:szCs w:val="21"/>
          <w:highlight w:val="none"/>
        </w:rPr>
        <w:t>日期：       年   月   日</w:t>
      </w:r>
    </w:p>
    <w:p>
      <w:pPr>
        <w:spacing w:line="360" w:lineRule="auto"/>
        <w:jc w:val="center"/>
        <w:rPr>
          <w:szCs w:val="21"/>
          <w:highlight w:val="none"/>
        </w:rPr>
      </w:pPr>
    </w:p>
    <w:p>
      <w:pPr>
        <w:spacing w:line="360" w:lineRule="auto"/>
        <w:jc w:val="center"/>
        <w:rPr>
          <w:szCs w:val="21"/>
          <w:highlight w:val="none"/>
        </w:rPr>
      </w:pPr>
    </w:p>
    <w:p>
      <w:pPr>
        <w:spacing w:line="360" w:lineRule="auto"/>
        <w:jc w:val="center"/>
        <w:rPr>
          <w:szCs w:val="21"/>
          <w:highlight w:val="none"/>
        </w:rPr>
      </w:pPr>
    </w:p>
    <w:p>
      <w:pPr>
        <w:spacing w:line="360" w:lineRule="auto"/>
        <w:rPr>
          <w:b/>
          <w:highlight w:val="none"/>
        </w:rPr>
      </w:pPr>
    </w:p>
    <w:p>
      <w:pPr>
        <w:spacing w:line="360" w:lineRule="auto"/>
        <w:rPr>
          <w:b/>
          <w:highlight w:val="none"/>
        </w:rPr>
      </w:pPr>
    </w:p>
    <w:p>
      <w:pPr>
        <w:pStyle w:val="124"/>
        <w:spacing w:line="360" w:lineRule="auto"/>
        <w:rPr>
          <w:rFonts w:ascii="宋体" w:hAnsi="宋体"/>
          <w:szCs w:val="21"/>
          <w:highlight w:val="none"/>
        </w:rPr>
      </w:pPr>
      <w:r>
        <w:rPr>
          <w:rFonts w:hint="eastAsia" w:ascii="宋体" w:hAnsi="宋体"/>
          <w:szCs w:val="21"/>
          <w:highlight w:val="none"/>
        </w:rPr>
        <w:t>注：</w:t>
      </w:r>
      <w:r>
        <w:rPr>
          <w:rFonts w:ascii="宋体" w:hAnsi="宋体"/>
          <w:szCs w:val="21"/>
          <w:highlight w:val="none"/>
        </w:rPr>
        <w:t>1.如果</w:t>
      </w:r>
      <w:r>
        <w:rPr>
          <w:rFonts w:hint="eastAsia" w:ascii="宋体" w:hAnsi="宋体"/>
          <w:szCs w:val="21"/>
          <w:highlight w:val="none"/>
        </w:rPr>
        <w:t>响应</w:t>
      </w:r>
      <w:r>
        <w:rPr>
          <w:rFonts w:ascii="宋体" w:hAnsi="宋体"/>
          <w:szCs w:val="21"/>
          <w:highlight w:val="none"/>
        </w:rPr>
        <w:t>文件由</w:t>
      </w:r>
      <w:r>
        <w:rPr>
          <w:rFonts w:hint="eastAsia" w:ascii="宋体" w:hAnsi="宋体"/>
          <w:szCs w:val="21"/>
          <w:highlight w:val="none"/>
        </w:rPr>
        <w:t>法定代表人</w:t>
      </w:r>
      <w:r>
        <w:rPr>
          <w:rFonts w:ascii="宋体" w:hAnsi="宋体"/>
          <w:szCs w:val="21"/>
          <w:highlight w:val="none"/>
        </w:rPr>
        <w:t>签署，则</w:t>
      </w:r>
      <w:r>
        <w:rPr>
          <w:rFonts w:hint="eastAsia" w:ascii="宋体" w:hAnsi="宋体"/>
          <w:szCs w:val="21"/>
          <w:highlight w:val="none"/>
        </w:rPr>
        <w:t>投标人</w:t>
      </w:r>
      <w:r>
        <w:rPr>
          <w:rFonts w:ascii="宋体" w:hAnsi="宋体"/>
          <w:szCs w:val="21"/>
          <w:highlight w:val="none"/>
        </w:rPr>
        <w:t>须提交</w:t>
      </w:r>
      <w:r>
        <w:rPr>
          <w:rFonts w:hint="eastAsia" w:ascii="宋体" w:hAnsi="宋体"/>
          <w:szCs w:val="21"/>
          <w:highlight w:val="none"/>
        </w:rPr>
        <w:t>法定代表人身份证明（不需要提交授权书），法定代表人身份证明须满足下列要求：</w:t>
      </w:r>
    </w:p>
    <w:p>
      <w:pPr>
        <w:pStyle w:val="124"/>
        <w:spacing w:line="360" w:lineRule="auto"/>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highlight w:val="none"/>
        </w:rPr>
        <w:t>法定代表人的签字必须是亲笔签名，不得使用印章、签名章或其他电子制版签名</w:t>
      </w:r>
      <w:r>
        <w:rPr>
          <w:rFonts w:hint="eastAsia" w:ascii="宋体" w:hAnsi="宋体"/>
          <w:szCs w:val="21"/>
          <w:highlight w:val="none"/>
        </w:rPr>
        <w:t>。</w:t>
      </w:r>
    </w:p>
    <w:p>
      <w:pPr>
        <w:pStyle w:val="124"/>
        <w:spacing w:line="360" w:lineRule="auto"/>
        <w:ind w:firstLine="420" w:firstLineChars="200"/>
        <w:rPr>
          <w:rFonts w:ascii="宋体" w:hAnsi="宋体"/>
          <w:szCs w:val="21"/>
          <w:highlight w:val="none"/>
        </w:rPr>
      </w:pPr>
    </w:p>
    <w:p>
      <w:pPr>
        <w:pStyle w:val="124"/>
        <w:spacing w:line="360" w:lineRule="auto"/>
        <w:ind w:firstLine="420" w:firstLineChars="200"/>
        <w:rPr>
          <w:rFonts w:ascii="宋体" w:hAnsi="宋体"/>
          <w:szCs w:val="21"/>
          <w:highlight w:val="none"/>
        </w:rPr>
      </w:pPr>
    </w:p>
    <w:p>
      <w:pPr>
        <w:pStyle w:val="21"/>
        <w:spacing w:line="440" w:lineRule="exact"/>
        <w:jc w:val="center"/>
        <w:rPr>
          <w:rFonts w:hAnsi="宋体"/>
          <w:b/>
          <w:color w:val="000000"/>
          <w:sz w:val="32"/>
          <w:szCs w:val="32"/>
          <w:highlight w:val="none"/>
        </w:rPr>
      </w:pPr>
      <w:r>
        <w:rPr>
          <w:rFonts w:hAnsi="宋体"/>
          <w:color w:val="000000"/>
          <w:sz w:val="32"/>
          <w:szCs w:val="32"/>
          <w:highlight w:val="none"/>
        </w:rPr>
        <w:br w:type="page"/>
      </w:r>
      <w:bookmarkEnd w:id="487"/>
      <w:bookmarkEnd w:id="488"/>
      <w:bookmarkEnd w:id="489"/>
      <w:bookmarkEnd w:id="492"/>
      <w:bookmarkEnd w:id="493"/>
      <w:bookmarkEnd w:id="494"/>
      <w:bookmarkEnd w:id="495"/>
      <w:bookmarkEnd w:id="496"/>
      <w:bookmarkStart w:id="497" w:name="_Toc19067"/>
      <w:r>
        <w:rPr>
          <w:rFonts w:hAnsi="宋体"/>
          <w:b/>
          <w:color w:val="000000"/>
          <w:sz w:val="32"/>
          <w:szCs w:val="32"/>
          <w:highlight w:val="none"/>
        </w:rPr>
        <w:t xml:space="preserve"> </w:t>
      </w:r>
      <w:r>
        <w:rPr>
          <w:rFonts w:hint="eastAsia" w:hAnsi="宋体"/>
          <w:b/>
          <w:color w:val="000000"/>
          <w:sz w:val="32"/>
          <w:szCs w:val="32"/>
          <w:highlight w:val="none"/>
        </w:rPr>
        <w:t>三、谈判保证金</w:t>
      </w:r>
    </w:p>
    <w:p>
      <w:pPr>
        <w:spacing w:line="360" w:lineRule="auto"/>
        <w:ind w:right="19" w:firstLine="315" w:firstLineChars="150"/>
        <w:rPr>
          <w:rFonts w:cs="宋体"/>
          <w:szCs w:val="21"/>
          <w:highlight w:val="none"/>
        </w:rPr>
      </w:pPr>
    </w:p>
    <w:p>
      <w:pPr>
        <w:spacing w:line="360" w:lineRule="auto"/>
        <w:ind w:right="19" w:firstLine="315" w:firstLineChars="150"/>
        <w:rPr>
          <w:rFonts w:cs="宋体"/>
          <w:szCs w:val="21"/>
          <w:highlight w:val="none"/>
        </w:rPr>
      </w:pPr>
      <w:r>
        <w:rPr>
          <w:rFonts w:hint="eastAsia" w:cs="宋体"/>
          <w:szCs w:val="21"/>
          <w:highlight w:val="none"/>
        </w:rPr>
        <w:t>（1）如采用现金或支票，投标人应在此附上汇款凭证的影印件。</w:t>
      </w:r>
    </w:p>
    <w:p>
      <w:pPr>
        <w:spacing w:line="360" w:lineRule="auto"/>
        <w:ind w:firstLine="315" w:firstLineChars="150"/>
        <w:rPr>
          <w:rFonts w:ascii="宋体" w:hAnsi="宋体" w:cs="宋体"/>
          <w:b/>
          <w:sz w:val="30"/>
          <w:szCs w:val="30"/>
          <w:highlight w:val="none"/>
        </w:rPr>
      </w:pPr>
      <w:r>
        <w:rPr>
          <w:rFonts w:hint="eastAsia" w:cs="宋体"/>
          <w:szCs w:val="21"/>
          <w:highlight w:val="none"/>
        </w:rPr>
        <w:t>（2）如采用银行保函，银行保函的</w:t>
      </w:r>
      <w:r>
        <w:rPr>
          <w:rFonts w:cs="宋体"/>
          <w:szCs w:val="21"/>
          <w:highlight w:val="none"/>
        </w:rPr>
        <w:t>相关要求见</w:t>
      </w:r>
      <w:r>
        <w:rPr>
          <w:rFonts w:hint="eastAsia" w:cs="宋体"/>
          <w:szCs w:val="21"/>
          <w:highlight w:val="none"/>
        </w:rPr>
        <w:t>谈判</w:t>
      </w:r>
      <w:r>
        <w:rPr>
          <w:rFonts w:cs="宋体"/>
          <w:szCs w:val="21"/>
          <w:highlight w:val="none"/>
        </w:rPr>
        <w:t>须</w:t>
      </w:r>
      <w:r>
        <w:rPr>
          <w:rFonts w:hint="eastAsia" w:cs="宋体"/>
          <w:szCs w:val="21"/>
          <w:highlight w:val="none"/>
        </w:rPr>
        <w:t>知</w:t>
      </w:r>
      <w:r>
        <w:rPr>
          <w:rFonts w:cs="宋体"/>
          <w:szCs w:val="21"/>
          <w:highlight w:val="none"/>
        </w:rPr>
        <w:t>前附表</w:t>
      </w:r>
      <w:r>
        <w:rPr>
          <w:rFonts w:hint="eastAsia" w:cs="宋体"/>
          <w:szCs w:val="21"/>
          <w:highlight w:val="none"/>
        </w:rPr>
        <w:t>第</w:t>
      </w:r>
      <w:r>
        <w:rPr>
          <w:rFonts w:cs="宋体"/>
          <w:szCs w:val="21"/>
          <w:highlight w:val="none"/>
        </w:rPr>
        <w:t>13</w:t>
      </w:r>
      <w:r>
        <w:rPr>
          <w:rFonts w:hint="eastAsia" w:cs="宋体"/>
          <w:szCs w:val="21"/>
          <w:highlight w:val="none"/>
        </w:rPr>
        <w:t>条</w:t>
      </w:r>
      <w:r>
        <w:rPr>
          <w:rFonts w:cs="宋体"/>
          <w:szCs w:val="21"/>
          <w:highlight w:val="none"/>
        </w:rPr>
        <w:t>要求，</w:t>
      </w:r>
      <w:r>
        <w:rPr>
          <w:rFonts w:hint="eastAsia" w:cs="宋体"/>
          <w:szCs w:val="21"/>
          <w:highlight w:val="none"/>
        </w:rPr>
        <w:t>银行保函原件单独递交，银行保函影印件装订在响应文件此</w:t>
      </w:r>
      <w:r>
        <w:rPr>
          <w:rFonts w:cs="宋体"/>
          <w:szCs w:val="21"/>
          <w:highlight w:val="none"/>
        </w:rPr>
        <w:t>处</w:t>
      </w:r>
      <w:r>
        <w:rPr>
          <w:rFonts w:hint="eastAsia" w:cs="宋体"/>
          <w:szCs w:val="21"/>
          <w:highlight w:val="none"/>
        </w:rPr>
        <w:t>，格式如下。</w:t>
      </w:r>
    </w:p>
    <w:p>
      <w:pPr>
        <w:spacing w:line="360" w:lineRule="auto"/>
        <w:jc w:val="center"/>
        <w:rPr>
          <w:rFonts w:ascii="宋体" w:hAnsi="宋体" w:cs="宋体"/>
          <w:b/>
          <w:sz w:val="30"/>
          <w:szCs w:val="30"/>
          <w:highlight w:val="none"/>
        </w:rPr>
      </w:pPr>
    </w:p>
    <w:p>
      <w:pPr>
        <w:spacing w:line="360" w:lineRule="auto"/>
        <w:jc w:val="center"/>
        <w:rPr>
          <w:rFonts w:ascii="宋体" w:hAnsi="宋体" w:cs="宋体"/>
          <w:b/>
          <w:sz w:val="28"/>
          <w:szCs w:val="28"/>
          <w:highlight w:val="none"/>
        </w:rPr>
      </w:pPr>
      <w:r>
        <w:rPr>
          <w:rFonts w:hint="eastAsia" w:ascii="宋体" w:hAnsi="宋体" w:cs="宋体"/>
          <w:b/>
          <w:sz w:val="30"/>
          <w:szCs w:val="30"/>
          <w:highlight w:val="none"/>
        </w:rPr>
        <w:t>投标保证金（银行保函）</w:t>
      </w:r>
    </w:p>
    <w:p>
      <w:pPr>
        <w:spacing w:line="360" w:lineRule="auto"/>
        <w:rPr>
          <w:rFonts w:ascii="宋体" w:hAnsi="宋体" w:cs="宋体"/>
          <w:szCs w:val="21"/>
          <w:highlight w:val="none"/>
        </w:rPr>
      </w:pPr>
      <w:r>
        <w:rPr>
          <w:rFonts w:hint="eastAsia" w:ascii="宋体" w:hAnsi="宋体" w:cs="宋体"/>
          <w:kern w:val="0"/>
          <w:szCs w:val="21"/>
          <w:highlight w:val="none"/>
          <w:u w:val="single"/>
          <w:lang w:val="zh-CN" w:bidi="zh-CN"/>
        </w:rPr>
        <w:t xml:space="preserve">四川交投物流有限公司 </w:t>
      </w:r>
      <w:r>
        <w:rPr>
          <w:rFonts w:hint="eastAsia" w:ascii="宋体" w:hAnsi="宋体" w:cs="宋体"/>
          <w:szCs w:val="21"/>
          <w:highlight w:val="none"/>
        </w:rPr>
        <w:t>(招标人名称)：</w:t>
      </w:r>
    </w:p>
    <w:p>
      <w:pPr>
        <w:spacing w:line="360" w:lineRule="auto"/>
        <w:rPr>
          <w:rFonts w:ascii="宋体" w:hAnsi="宋体" w:cs="宋体"/>
          <w:szCs w:val="21"/>
          <w:highlight w:val="none"/>
        </w:rPr>
      </w:pP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鉴于</w:t>
      </w:r>
      <w:r>
        <w:rPr>
          <w:rFonts w:ascii="宋体" w:hAnsi="宋体" w:cs="宋体"/>
          <w:szCs w:val="21"/>
          <w:highlight w:val="none"/>
          <w:u w:val="single"/>
        </w:rPr>
        <w:t>(</w:t>
      </w:r>
      <w:r>
        <w:rPr>
          <w:rFonts w:hint="eastAsia" w:ascii="宋体" w:hAnsi="宋体" w:cs="宋体"/>
          <w:szCs w:val="21"/>
          <w:highlight w:val="none"/>
          <w:u w:val="single"/>
        </w:rPr>
        <w:t>投标人名称</w:t>
      </w:r>
      <w:r>
        <w:rPr>
          <w:rFonts w:ascii="宋体" w:hAnsi="宋体" w:cs="宋体"/>
          <w:szCs w:val="21"/>
          <w:highlight w:val="none"/>
          <w:u w:val="single"/>
        </w:rPr>
        <w:t>)</w:t>
      </w:r>
      <w:r>
        <w:rPr>
          <w:rFonts w:hint="eastAsia" w:ascii="宋体" w:hAnsi="宋体" w:cs="宋体"/>
          <w:szCs w:val="21"/>
          <w:highlight w:val="none"/>
        </w:rPr>
        <w:t xml:space="preserve"> (以下称“投标人”)于</w:t>
      </w:r>
      <w:r>
        <w:rPr>
          <w:rFonts w:ascii="宋体" w:hAnsi="宋体" w:cs="宋体"/>
          <w:szCs w:val="21"/>
          <w:highlight w:val="none"/>
          <w:u w:val="single"/>
        </w:rPr>
        <w:t xml:space="preserve"> </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rPr>
        <w:t>年</w:t>
      </w:r>
      <w:r>
        <w:rPr>
          <w:rFonts w:ascii="宋体" w:hAnsi="宋体" w:cs="宋体"/>
          <w:szCs w:val="21"/>
          <w:highlight w:val="none"/>
          <w:u w:val="single"/>
        </w:rPr>
        <w:t xml:space="preserve"> </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日参加</w:t>
      </w:r>
      <w:r>
        <w:rPr>
          <w:rFonts w:hint="eastAsia" w:ascii="宋体" w:hAnsi="宋体"/>
          <w:szCs w:val="21"/>
          <w:highlight w:val="none"/>
        </w:rPr>
        <w:t>G4216线屏山新市至金阳段、金阳至宁南段高速公路项目2021～</w:t>
      </w:r>
      <w:r>
        <w:rPr>
          <w:rFonts w:ascii="宋体" w:hAnsi="宋体"/>
          <w:szCs w:val="21"/>
          <w:highlight w:val="none"/>
        </w:rPr>
        <w:t>2022</w:t>
      </w:r>
      <w:r>
        <w:rPr>
          <w:rFonts w:hint="eastAsia" w:ascii="宋体" w:hAnsi="宋体"/>
          <w:szCs w:val="21"/>
          <w:highlight w:val="none"/>
        </w:rPr>
        <w:t>年度</w:t>
      </w:r>
      <w:r>
        <w:rPr>
          <w:rFonts w:hint="eastAsia" w:ascii="宋体" w:hAnsi="宋体" w:cs="宋体"/>
          <w:szCs w:val="21"/>
          <w:highlight w:val="none"/>
        </w:rPr>
        <w:t>钢材船舶运输服务</w:t>
      </w:r>
      <w:r>
        <w:rPr>
          <w:rFonts w:hint="eastAsia" w:ascii="宋体" w:hAnsi="宋体" w:cs="宋体"/>
          <w:szCs w:val="21"/>
          <w:highlight w:val="none"/>
          <w:u w:val="single"/>
        </w:rPr>
        <w:t>（第三次）</w:t>
      </w:r>
      <w:r>
        <w:rPr>
          <w:rFonts w:ascii="宋体" w:hAnsi="宋体" w:cs="宋体"/>
          <w:szCs w:val="21"/>
          <w:highlight w:val="none"/>
          <w:u w:val="single"/>
        </w:rPr>
        <w:t>招标</w:t>
      </w:r>
      <w:r>
        <w:rPr>
          <w:rFonts w:ascii="宋体" w:hAnsi="宋体" w:cs="宋体"/>
          <w:bCs/>
          <w:szCs w:val="21"/>
          <w:highlight w:val="none"/>
        </w:rPr>
        <w:t>第</w:t>
      </w:r>
      <w:r>
        <w:rPr>
          <w:rFonts w:ascii="宋体" w:hAnsi="宋体" w:cs="宋体"/>
          <w:bCs/>
          <w:szCs w:val="21"/>
          <w:highlight w:val="none"/>
          <w:u w:val="single"/>
        </w:rPr>
        <w:t xml:space="preserve"> GCYS </w:t>
      </w:r>
      <w:r>
        <w:rPr>
          <w:rFonts w:hint="eastAsia" w:ascii="宋体" w:hAnsi="宋体" w:cs="宋体"/>
          <w:bCs/>
          <w:szCs w:val="21"/>
          <w:highlight w:val="none"/>
        </w:rPr>
        <w:t>标段</w:t>
      </w:r>
      <w:r>
        <w:rPr>
          <w:rFonts w:hint="eastAsia" w:ascii="宋体" w:hAnsi="宋体" w:cs="宋体"/>
          <w:szCs w:val="21"/>
          <w:highlight w:val="none"/>
        </w:rPr>
        <w:t>的谈判，</w:t>
      </w:r>
      <w:r>
        <w:rPr>
          <w:rFonts w:ascii="宋体" w:hAnsi="宋体" w:cs="宋体"/>
          <w:szCs w:val="21"/>
          <w:highlight w:val="none"/>
          <w:u w:val="single"/>
        </w:rPr>
        <w:t>(担保人名称，以下简称“我方”)</w:t>
      </w:r>
      <w:r>
        <w:rPr>
          <w:rFonts w:hint="eastAsia" w:ascii="宋体" w:hAnsi="宋体" w:cs="宋体"/>
          <w:szCs w:val="21"/>
          <w:highlight w:val="none"/>
        </w:rPr>
        <w:t>无条件地、不可撤销地保证：投标人在规定的谈判有效期内撤销响应文件，或成交人在收到成交通知书后拒签合同协议书，或在签订合同时向招标人提出附加条件，或发生谈判文件明确规定可以不予以退还谈判保证金的其他情形，我方承担保证责任。收到你方书面通知后，在7日内无条件向你方支付人民币(大写)</w:t>
      </w:r>
      <w:r>
        <w:rPr>
          <w:rFonts w:ascii="宋体" w:hAnsi="宋体" w:cs="宋体"/>
          <w:szCs w:val="21"/>
          <w:highlight w:val="none"/>
          <w:u w:val="single"/>
        </w:rPr>
        <w:t xml:space="preserve">        </w:t>
      </w:r>
      <w:r>
        <w:rPr>
          <w:rFonts w:hint="eastAsia" w:ascii="宋体" w:hAnsi="宋体" w:cs="宋体"/>
          <w:szCs w:val="21"/>
          <w:highlight w:val="none"/>
        </w:rPr>
        <w:t xml:space="preserve">元。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本保函在谈判有效期或经延长的谈判有效期内保持有效。要求我方承担保证责任的通知应在上述期限内送达我方。你方延长谈判有效期的决定，应通知我方。</w:t>
      </w:r>
    </w:p>
    <w:p>
      <w:pPr>
        <w:rPr>
          <w:rFonts w:ascii="宋体" w:hAnsi="宋体" w:cs="宋体"/>
          <w:szCs w:val="21"/>
          <w:highlight w:val="none"/>
        </w:rPr>
      </w:pPr>
    </w:p>
    <w:p>
      <w:pPr>
        <w:rPr>
          <w:rFonts w:ascii="宋体" w:hAnsi="宋体" w:cs="宋体"/>
          <w:szCs w:val="21"/>
          <w:highlight w:val="none"/>
        </w:rPr>
      </w:pPr>
    </w:p>
    <w:p>
      <w:pPr>
        <w:spacing w:line="360" w:lineRule="auto"/>
        <w:ind w:firstLine="2730" w:firstLineChars="1300"/>
        <w:rPr>
          <w:rFonts w:ascii="宋体" w:hAnsi="宋体" w:cs="宋体"/>
          <w:bCs/>
          <w:szCs w:val="21"/>
          <w:highlight w:val="none"/>
        </w:rPr>
      </w:pPr>
      <w:r>
        <w:rPr>
          <w:rFonts w:hint="eastAsia" w:ascii="宋体" w:hAnsi="宋体" w:cs="宋体"/>
          <w:bCs/>
          <w:szCs w:val="21"/>
          <w:highlight w:val="none"/>
        </w:rPr>
        <w:t>担保人名称：</w:t>
      </w:r>
      <w:r>
        <w:rPr>
          <w:rFonts w:hint="eastAsia" w:ascii="宋体" w:hAnsi="宋体" w:cs="宋体"/>
          <w:bCs/>
          <w:szCs w:val="21"/>
          <w:highlight w:val="none"/>
          <w:u w:val="single"/>
        </w:rPr>
        <w:t xml:space="preserve">           </w:t>
      </w:r>
      <w:r>
        <w:rPr>
          <w:rFonts w:hint="eastAsia" w:ascii="宋体" w:hAnsi="宋体" w:cs="宋体"/>
          <w:bCs/>
          <w:szCs w:val="21"/>
          <w:highlight w:val="none"/>
        </w:rPr>
        <w:t>(盖单位章或业务专用章)</w:t>
      </w:r>
    </w:p>
    <w:p>
      <w:pPr>
        <w:spacing w:line="360" w:lineRule="auto"/>
        <w:ind w:firstLine="2415" w:firstLineChars="1150"/>
        <w:rPr>
          <w:rFonts w:ascii="宋体" w:hAnsi="宋体" w:cs="宋体"/>
          <w:bCs/>
          <w:szCs w:val="21"/>
          <w:highlight w:val="none"/>
        </w:rPr>
      </w:pPr>
      <w:r>
        <w:rPr>
          <w:rFonts w:hint="eastAsia" w:ascii="宋体" w:hAnsi="宋体" w:cs="宋体"/>
          <w:bCs/>
          <w:szCs w:val="21"/>
          <w:highlight w:val="none"/>
        </w:rPr>
        <w:t>法定代表人（或单位负责人）或其委托代理人：</w:t>
      </w:r>
      <w:r>
        <w:rPr>
          <w:rFonts w:hint="eastAsia" w:ascii="宋体" w:hAnsi="宋体" w:cs="宋体"/>
          <w:bCs/>
          <w:szCs w:val="21"/>
          <w:highlight w:val="none"/>
          <w:u w:val="single"/>
        </w:rPr>
        <w:t xml:space="preserve">   </w:t>
      </w:r>
      <w:r>
        <w:rPr>
          <w:rFonts w:hint="eastAsia" w:ascii="宋体" w:hAnsi="宋体" w:cs="宋体"/>
          <w:bCs/>
          <w:szCs w:val="21"/>
          <w:highlight w:val="none"/>
        </w:rPr>
        <w:t>(</w:t>
      </w:r>
      <w:r>
        <w:rPr>
          <w:rFonts w:hint="eastAsia" w:ascii="宋体" w:hAnsi="宋体" w:cs="宋体"/>
          <w:szCs w:val="21"/>
          <w:highlight w:val="none"/>
        </w:rPr>
        <w:t>签字</w:t>
      </w:r>
      <w:r>
        <w:rPr>
          <w:rFonts w:hint="eastAsia" w:ascii="宋体" w:hAnsi="宋体" w:cs="宋体"/>
          <w:bCs/>
          <w:szCs w:val="21"/>
          <w:highlight w:val="none"/>
        </w:rPr>
        <w:t>或签章)</w:t>
      </w:r>
    </w:p>
    <w:p>
      <w:pPr>
        <w:spacing w:line="360" w:lineRule="auto"/>
        <w:ind w:firstLine="3150" w:firstLineChars="1500"/>
        <w:rPr>
          <w:rFonts w:ascii="宋体" w:hAnsi="宋体" w:cs="宋体"/>
          <w:szCs w:val="21"/>
          <w:highlight w:val="none"/>
        </w:rPr>
      </w:pPr>
      <w:r>
        <w:rPr>
          <w:rFonts w:hint="eastAsia" w:ascii="宋体" w:hAnsi="宋体" w:cs="宋体"/>
          <w:szCs w:val="21"/>
          <w:highlight w:val="none"/>
        </w:rPr>
        <w:t>地    址：</w:t>
      </w:r>
    </w:p>
    <w:p>
      <w:pPr>
        <w:spacing w:line="360" w:lineRule="auto"/>
        <w:ind w:firstLine="3150" w:firstLineChars="1500"/>
        <w:rPr>
          <w:rFonts w:ascii="宋体" w:hAnsi="宋体" w:cs="宋体"/>
          <w:szCs w:val="21"/>
          <w:highlight w:val="none"/>
        </w:rPr>
      </w:pPr>
      <w:r>
        <w:rPr>
          <w:rFonts w:hint="eastAsia" w:ascii="宋体" w:hAnsi="宋体" w:cs="宋体"/>
          <w:szCs w:val="21"/>
          <w:highlight w:val="none"/>
        </w:rPr>
        <w:t>邮政编码：</w:t>
      </w:r>
    </w:p>
    <w:p>
      <w:pPr>
        <w:spacing w:line="360" w:lineRule="auto"/>
        <w:ind w:firstLine="3150" w:firstLineChars="1500"/>
        <w:rPr>
          <w:rFonts w:ascii="宋体" w:hAnsi="宋体" w:cs="宋体"/>
          <w:szCs w:val="21"/>
          <w:highlight w:val="none"/>
        </w:rPr>
      </w:pPr>
      <w:r>
        <w:rPr>
          <w:rFonts w:hint="eastAsia" w:ascii="宋体" w:hAnsi="宋体" w:cs="宋体"/>
          <w:szCs w:val="21"/>
          <w:highlight w:val="none"/>
        </w:rPr>
        <w:t>电    话：</w:t>
      </w:r>
    </w:p>
    <w:p>
      <w:pPr>
        <w:spacing w:line="360" w:lineRule="auto"/>
        <w:ind w:firstLine="3150" w:firstLineChars="1500"/>
        <w:rPr>
          <w:rFonts w:ascii="宋体" w:hAnsi="宋体" w:cs="宋体"/>
          <w:szCs w:val="21"/>
          <w:highlight w:val="none"/>
        </w:rPr>
      </w:pPr>
      <w:r>
        <w:rPr>
          <w:rFonts w:hint="eastAsia" w:ascii="宋体" w:hAnsi="宋体" w:cs="宋体"/>
          <w:szCs w:val="21"/>
          <w:highlight w:val="none"/>
        </w:rPr>
        <w:t>传    真：</w:t>
      </w:r>
    </w:p>
    <w:p>
      <w:pPr>
        <w:spacing w:line="360" w:lineRule="auto"/>
        <w:ind w:firstLine="5460" w:firstLineChars="2600"/>
        <w:rPr>
          <w:rFonts w:ascii="宋体" w:hAnsi="宋体" w:cs="宋体"/>
          <w:szCs w:val="21"/>
          <w:highlight w:val="none"/>
        </w:rPr>
      </w:pPr>
    </w:p>
    <w:p>
      <w:pPr>
        <w:spacing w:line="360" w:lineRule="auto"/>
        <w:ind w:firstLine="5460" w:firstLineChars="2600"/>
        <w:rPr>
          <w:rFonts w:ascii="宋体" w:hAnsi="宋体" w:cs="宋体"/>
          <w:szCs w:val="21"/>
          <w:highlight w:val="none"/>
        </w:rPr>
      </w:pPr>
    </w:p>
    <w:p>
      <w:pPr>
        <w:spacing w:line="360" w:lineRule="auto"/>
        <w:ind w:firstLine="5460" w:firstLineChars="2600"/>
        <w:rPr>
          <w:rFonts w:ascii="宋体" w:hAnsi="宋体" w:cs="宋体"/>
          <w:szCs w:val="21"/>
          <w:highlight w:val="none"/>
        </w:rPr>
      </w:pPr>
      <w:r>
        <w:rPr>
          <w:rFonts w:hint="eastAsia" w:ascii="宋体" w:hAnsi="宋体" w:cs="宋体"/>
          <w:szCs w:val="21"/>
          <w:highlight w:val="none"/>
        </w:rPr>
        <w:t>年  月   日</w:t>
      </w:r>
    </w:p>
    <w:p>
      <w:pPr>
        <w:rPr>
          <w:rFonts w:ascii="宋体" w:hAnsi="宋体" w:cs="宋体"/>
          <w:szCs w:val="21"/>
          <w:highlight w:val="none"/>
        </w:rPr>
      </w:pPr>
    </w:p>
    <w:p>
      <w:pPr>
        <w:pStyle w:val="21"/>
        <w:spacing w:line="440" w:lineRule="exact"/>
        <w:jc w:val="center"/>
        <w:rPr>
          <w:rFonts w:hAnsi="宋体"/>
          <w:b/>
          <w:color w:val="000000"/>
          <w:sz w:val="32"/>
          <w:szCs w:val="32"/>
          <w:highlight w:val="none"/>
        </w:rPr>
      </w:pPr>
    </w:p>
    <w:p>
      <w:pPr>
        <w:pStyle w:val="21"/>
        <w:spacing w:line="440" w:lineRule="exact"/>
        <w:jc w:val="center"/>
        <w:rPr>
          <w:rFonts w:hAnsi="宋体"/>
          <w:b/>
          <w:color w:val="000000"/>
          <w:sz w:val="32"/>
          <w:szCs w:val="32"/>
          <w:highlight w:val="none"/>
        </w:rPr>
      </w:pPr>
    </w:p>
    <w:p>
      <w:pPr>
        <w:pStyle w:val="21"/>
        <w:spacing w:line="440" w:lineRule="exact"/>
        <w:jc w:val="center"/>
        <w:rPr>
          <w:rFonts w:hAnsi="宋体"/>
          <w:b/>
          <w:color w:val="000000"/>
          <w:sz w:val="32"/>
          <w:szCs w:val="32"/>
          <w:highlight w:val="none"/>
        </w:rPr>
      </w:pPr>
      <w:r>
        <w:rPr>
          <w:rFonts w:hAnsi="宋体"/>
          <w:b/>
          <w:color w:val="000000"/>
          <w:sz w:val="32"/>
          <w:szCs w:val="32"/>
          <w:highlight w:val="none"/>
        </w:rPr>
        <w:br w:type="page"/>
      </w:r>
    </w:p>
    <w:p>
      <w:pPr>
        <w:pStyle w:val="21"/>
        <w:spacing w:line="440" w:lineRule="exact"/>
        <w:jc w:val="center"/>
        <w:rPr>
          <w:rFonts w:hAnsi="宋体"/>
          <w:b/>
          <w:color w:val="000000"/>
          <w:sz w:val="32"/>
          <w:szCs w:val="32"/>
          <w:highlight w:val="none"/>
        </w:rPr>
      </w:pPr>
      <w:r>
        <w:rPr>
          <w:rFonts w:hint="eastAsia" w:hAnsi="宋体"/>
          <w:b/>
          <w:color w:val="000000"/>
          <w:sz w:val="32"/>
          <w:szCs w:val="32"/>
          <w:highlight w:val="none"/>
        </w:rPr>
        <w:t>四</w:t>
      </w:r>
      <w:r>
        <w:rPr>
          <w:rFonts w:hAnsi="宋体"/>
          <w:b/>
          <w:color w:val="000000"/>
          <w:sz w:val="32"/>
          <w:szCs w:val="32"/>
          <w:highlight w:val="none"/>
        </w:rPr>
        <w:t>、</w:t>
      </w:r>
      <w:r>
        <w:rPr>
          <w:rFonts w:hint="eastAsia" w:hAnsi="宋体"/>
          <w:b/>
          <w:color w:val="000000"/>
          <w:sz w:val="32"/>
          <w:szCs w:val="32"/>
          <w:highlight w:val="none"/>
        </w:rPr>
        <w:t>资格审查资料</w:t>
      </w:r>
    </w:p>
    <w:p>
      <w:pPr>
        <w:pStyle w:val="21"/>
        <w:spacing w:line="440" w:lineRule="exact"/>
        <w:jc w:val="center"/>
        <w:rPr>
          <w:rFonts w:hAnsi="宋体" w:cs="宋体"/>
          <w:b/>
          <w:kern w:val="2"/>
          <w:sz w:val="32"/>
          <w:szCs w:val="32"/>
          <w:highlight w:val="none"/>
        </w:rPr>
      </w:pPr>
      <w:r>
        <w:rPr>
          <w:rFonts w:hAnsi="宋体" w:cs="宋体"/>
          <w:b/>
          <w:kern w:val="2"/>
          <w:sz w:val="32"/>
          <w:szCs w:val="32"/>
          <w:highlight w:val="none"/>
        </w:rPr>
        <w:t>4</w:t>
      </w:r>
      <w:r>
        <w:rPr>
          <w:rFonts w:hint="eastAsia" w:hAnsi="宋体" w:cs="宋体"/>
          <w:b/>
          <w:kern w:val="2"/>
          <w:sz w:val="32"/>
          <w:szCs w:val="32"/>
          <w:highlight w:val="none"/>
        </w:rPr>
        <w:t>-1投标人基本情况表</w:t>
      </w:r>
    </w:p>
    <w:tbl>
      <w:tblPr>
        <w:tblStyle w:val="4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57"/>
        <w:gridCol w:w="215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157"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投标人全称</w:t>
            </w:r>
          </w:p>
        </w:tc>
        <w:tc>
          <w:tcPr>
            <w:tcW w:w="2157" w:type="dxa"/>
            <w:vAlign w:val="center"/>
          </w:tcPr>
          <w:p>
            <w:pPr>
              <w:spacing w:line="440" w:lineRule="exact"/>
              <w:jc w:val="center"/>
              <w:rPr>
                <w:rFonts w:ascii="宋体" w:hAnsi="宋体" w:cs="宋体"/>
                <w:szCs w:val="21"/>
                <w:highlight w:val="none"/>
              </w:rPr>
            </w:pPr>
          </w:p>
        </w:tc>
        <w:tc>
          <w:tcPr>
            <w:tcW w:w="215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主要业务</w:t>
            </w:r>
          </w:p>
        </w:tc>
        <w:tc>
          <w:tcPr>
            <w:tcW w:w="2028" w:type="dxa"/>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2157" w:type="dxa"/>
            <w:vMerge w:val="restart"/>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营业执照</w:t>
            </w:r>
          </w:p>
        </w:tc>
        <w:tc>
          <w:tcPr>
            <w:tcW w:w="2157" w:type="dxa"/>
            <w:vAlign w:val="center"/>
          </w:tcPr>
          <w:p>
            <w:pPr>
              <w:spacing w:line="440" w:lineRule="exact"/>
              <w:rPr>
                <w:rFonts w:ascii="宋体" w:hAnsi="宋体" w:cs="宋体"/>
                <w:szCs w:val="21"/>
                <w:highlight w:val="none"/>
              </w:rPr>
            </w:pPr>
            <w:r>
              <w:rPr>
                <w:rFonts w:hint="eastAsia" w:ascii="宋体" w:hAnsi="宋体" w:cs="宋体"/>
                <w:szCs w:val="21"/>
                <w:highlight w:val="none"/>
              </w:rPr>
              <w:t>1、统一社会信用代码</w:t>
            </w:r>
          </w:p>
        </w:tc>
        <w:tc>
          <w:tcPr>
            <w:tcW w:w="4186" w:type="dxa"/>
            <w:gridSpan w:val="2"/>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2157" w:type="dxa"/>
            <w:vMerge w:val="continue"/>
            <w:vAlign w:val="center"/>
          </w:tcPr>
          <w:p>
            <w:pPr>
              <w:spacing w:line="440" w:lineRule="exact"/>
              <w:jc w:val="center"/>
              <w:rPr>
                <w:rFonts w:ascii="宋体" w:hAnsi="宋体" w:cs="宋体"/>
                <w:szCs w:val="21"/>
                <w:highlight w:val="none"/>
              </w:rPr>
            </w:pPr>
          </w:p>
        </w:tc>
        <w:tc>
          <w:tcPr>
            <w:tcW w:w="2157" w:type="dxa"/>
            <w:vAlign w:val="center"/>
          </w:tcPr>
          <w:p>
            <w:pPr>
              <w:spacing w:line="440" w:lineRule="exact"/>
              <w:rPr>
                <w:rFonts w:ascii="宋体" w:hAnsi="宋体" w:cs="宋体"/>
                <w:szCs w:val="21"/>
                <w:highlight w:val="none"/>
              </w:rPr>
            </w:pPr>
            <w:r>
              <w:rPr>
                <w:rFonts w:hint="eastAsia" w:ascii="宋体" w:hAnsi="宋体" w:cs="宋体"/>
                <w:szCs w:val="21"/>
                <w:highlight w:val="none"/>
              </w:rPr>
              <w:t>2、营业范围</w:t>
            </w:r>
          </w:p>
        </w:tc>
        <w:tc>
          <w:tcPr>
            <w:tcW w:w="4186" w:type="dxa"/>
            <w:gridSpan w:val="2"/>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2157" w:type="dxa"/>
            <w:vMerge w:val="continue"/>
            <w:vAlign w:val="center"/>
          </w:tcPr>
          <w:p>
            <w:pPr>
              <w:spacing w:line="440" w:lineRule="exact"/>
              <w:jc w:val="center"/>
              <w:rPr>
                <w:rFonts w:ascii="宋体" w:hAnsi="宋体" w:cs="宋体"/>
                <w:szCs w:val="21"/>
                <w:highlight w:val="none"/>
              </w:rPr>
            </w:pPr>
          </w:p>
        </w:tc>
        <w:tc>
          <w:tcPr>
            <w:tcW w:w="2157" w:type="dxa"/>
            <w:vAlign w:val="center"/>
          </w:tcPr>
          <w:p>
            <w:pPr>
              <w:spacing w:line="440" w:lineRule="exact"/>
              <w:rPr>
                <w:rFonts w:ascii="宋体" w:hAnsi="宋体" w:cs="宋体"/>
                <w:szCs w:val="21"/>
                <w:highlight w:val="none"/>
              </w:rPr>
            </w:pPr>
            <w:r>
              <w:rPr>
                <w:rFonts w:hint="eastAsia" w:ascii="宋体" w:hAnsi="宋体" w:cs="宋体"/>
                <w:szCs w:val="21"/>
                <w:highlight w:val="none"/>
              </w:rPr>
              <w:t>3、注册资金</w:t>
            </w:r>
          </w:p>
        </w:tc>
        <w:tc>
          <w:tcPr>
            <w:tcW w:w="4186" w:type="dxa"/>
            <w:gridSpan w:val="2"/>
            <w:tcBorders>
              <w:top w:val="nil"/>
            </w:tcBorders>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2157"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建立日期</w:t>
            </w:r>
          </w:p>
        </w:tc>
        <w:tc>
          <w:tcPr>
            <w:tcW w:w="6343" w:type="dxa"/>
            <w:gridSpan w:val="3"/>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2157" w:type="dxa"/>
            <w:vMerge w:val="restart"/>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企业负责人</w:t>
            </w:r>
          </w:p>
        </w:tc>
        <w:tc>
          <w:tcPr>
            <w:tcW w:w="6343" w:type="dxa"/>
            <w:gridSpan w:val="3"/>
            <w:vAlign w:val="center"/>
          </w:tcPr>
          <w:p>
            <w:pPr>
              <w:spacing w:line="440" w:lineRule="exact"/>
              <w:rPr>
                <w:rFonts w:ascii="宋体" w:hAnsi="宋体" w:cs="宋体"/>
                <w:szCs w:val="21"/>
                <w:highlight w:val="none"/>
              </w:rPr>
            </w:pPr>
            <w:r>
              <w:rPr>
                <w:rFonts w:hint="eastAsia" w:ascii="宋体" w:hAnsi="宋体" w:cs="宋体"/>
                <w:szCs w:val="21"/>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2157" w:type="dxa"/>
            <w:vMerge w:val="continue"/>
            <w:vAlign w:val="center"/>
          </w:tcPr>
          <w:p>
            <w:pPr>
              <w:spacing w:line="440" w:lineRule="exact"/>
              <w:jc w:val="center"/>
              <w:rPr>
                <w:rFonts w:ascii="宋体" w:hAnsi="宋体" w:cs="宋体"/>
                <w:szCs w:val="21"/>
                <w:highlight w:val="none"/>
              </w:rPr>
            </w:pPr>
          </w:p>
        </w:tc>
        <w:tc>
          <w:tcPr>
            <w:tcW w:w="6343" w:type="dxa"/>
            <w:gridSpan w:val="3"/>
            <w:vAlign w:val="center"/>
          </w:tcPr>
          <w:p>
            <w:pPr>
              <w:spacing w:line="440" w:lineRule="exact"/>
              <w:rPr>
                <w:rFonts w:ascii="宋体" w:hAnsi="宋体" w:cs="宋体"/>
                <w:szCs w:val="21"/>
                <w:highlight w:val="none"/>
              </w:rPr>
            </w:pPr>
            <w:r>
              <w:rPr>
                <w:rFonts w:hint="eastAsia" w:ascii="宋体" w:hAnsi="宋体" w:cs="宋体"/>
                <w:szCs w:val="21"/>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2157" w:type="dxa"/>
            <w:vMerge w:val="continue"/>
            <w:vAlign w:val="center"/>
          </w:tcPr>
          <w:p>
            <w:pPr>
              <w:spacing w:line="440" w:lineRule="exact"/>
              <w:jc w:val="center"/>
              <w:rPr>
                <w:rFonts w:ascii="宋体" w:hAnsi="宋体" w:cs="宋体"/>
                <w:szCs w:val="21"/>
                <w:highlight w:val="none"/>
              </w:rPr>
            </w:pPr>
          </w:p>
        </w:tc>
        <w:tc>
          <w:tcPr>
            <w:tcW w:w="6343" w:type="dxa"/>
            <w:gridSpan w:val="3"/>
            <w:vAlign w:val="center"/>
          </w:tcPr>
          <w:p>
            <w:pPr>
              <w:spacing w:line="440" w:lineRule="exact"/>
              <w:rPr>
                <w:rFonts w:ascii="宋体" w:hAnsi="宋体" w:cs="宋体"/>
                <w:szCs w:val="21"/>
                <w:highlight w:val="none"/>
              </w:rPr>
            </w:pPr>
            <w:r>
              <w:rPr>
                <w:rFonts w:hint="eastAsia" w:ascii="宋体" w:hAnsi="宋体" w:cs="宋体"/>
                <w:szCs w:val="21"/>
                <w:highlight w:val="none"/>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8" w:hRule="atLeast"/>
        </w:trPr>
        <w:tc>
          <w:tcPr>
            <w:tcW w:w="2157"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联系方式</w:t>
            </w:r>
          </w:p>
        </w:tc>
        <w:tc>
          <w:tcPr>
            <w:tcW w:w="6343" w:type="dxa"/>
            <w:gridSpan w:val="3"/>
            <w:vAlign w:val="center"/>
          </w:tcPr>
          <w:p>
            <w:pPr>
              <w:numPr>
                <w:ilvl w:val="0"/>
                <w:numId w:val="3"/>
              </w:numPr>
              <w:spacing w:line="440" w:lineRule="exact"/>
              <w:rPr>
                <w:rFonts w:ascii="宋体" w:hAnsi="宋体" w:cs="宋体"/>
                <w:szCs w:val="21"/>
                <w:highlight w:val="none"/>
              </w:rPr>
            </w:pPr>
            <w:r>
              <w:rPr>
                <w:rFonts w:hint="eastAsia" w:ascii="宋体" w:hAnsi="宋体" w:cs="宋体"/>
                <w:szCs w:val="21"/>
                <w:highlight w:val="none"/>
              </w:rPr>
              <w:t>地址：                 2、电话：</w:t>
            </w:r>
          </w:p>
          <w:p>
            <w:pPr>
              <w:spacing w:line="440" w:lineRule="exact"/>
              <w:rPr>
                <w:rFonts w:ascii="宋体" w:hAnsi="宋体" w:cs="宋体"/>
                <w:szCs w:val="21"/>
                <w:highlight w:val="none"/>
              </w:rPr>
            </w:pPr>
            <w:r>
              <w:rPr>
                <w:rFonts w:hint="eastAsia" w:ascii="宋体" w:hAnsi="宋体" w:cs="宋体"/>
                <w:szCs w:val="21"/>
                <w:highlight w:val="none"/>
              </w:rPr>
              <w:t>3、邮编：                 4、传真：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trPr>
        <w:tc>
          <w:tcPr>
            <w:tcW w:w="2157"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基本账户开户银行</w:t>
            </w:r>
          </w:p>
        </w:tc>
        <w:tc>
          <w:tcPr>
            <w:tcW w:w="6343" w:type="dxa"/>
            <w:gridSpan w:val="3"/>
            <w:vAlign w:val="center"/>
          </w:tcPr>
          <w:p>
            <w:pPr>
              <w:spacing w:line="440" w:lineRule="exact"/>
              <w:rPr>
                <w:rFonts w:ascii="宋体" w:hAnsi="宋体" w:cs="宋体"/>
                <w:szCs w:val="21"/>
                <w:highlight w:val="none"/>
              </w:rPr>
            </w:pPr>
            <w:r>
              <w:rPr>
                <w:rFonts w:hint="eastAsia" w:ascii="宋体" w:hAnsi="宋体" w:cs="宋体"/>
                <w:szCs w:val="21"/>
                <w:highlight w:val="none"/>
              </w:rPr>
              <w:t>1、名称：                 2、账号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2157" w:type="dxa"/>
            <w:vAlign w:val="center"/>
          </w:tcPr>
          <w:p>
            <w:pPr>
              <w:jc w:val="center"/>
              <w:rPr>
                <w:rFonts w:ascii="宋体" w:hAnsi="宋体" w:cs="宋体"/>
                <w:kern w:val="0"/>
                <w:szCs w:val="21"/>
                <w:highlight w:val="none"/>
                <w:lang w:val="zh-CN" w:bidi="zh-CN"/>
              </w:rPr>
            </w:pPr>
            <w:bookmarkStart w:id="498" w:name="_Hlk49024694"/>
            <w:r>
              <w:rPr>
                <w:rFonts w:hint="eastAsia" w:ascii="宋体" w:hAnsi="宋体" w:cs="宋体"/>
                <w:kern w:val="0"/>
                <w:szCs w:val="21"/>
                <w:highlight w:val="none"/>
                <w:lang w:bidi="zh-CN"/>
              </w:rPr>
              <w:t>国内水</w:t>
            </w:r>
            <w:r>
              <w:rPr>
                <w:rFonts w:hint="eastAsia" w:ascii="宋体" w:hAnsi="宋体" w:cs="宋体"/>
                <w:kern w:val="0"/>
                <w:szCs w:val="21"/>
                <w:highlight w:val="none"/>
                <w:lang w:val="zh-CN" w:bidi="zh-CN"/>
              </w:rPr>
              <w:t>路运输</w:t>
            </w:r>
          </w:p>
          <w:p>
            <w:pPr>
              <w:jc w:val="center"/>
              <w:rPr>
                <w:rFonts w:ascii="宋体" w:hAnsi="宋体" w:cs="宋体"/>
                <w:kern w:val="0"/>
                <w:szCs w:val="21"/>
                <w:highlight w:val="none"/>
                <w:lang w:val="zh-CN" w:bidi="zh-CN"/>
              </w:rPr>
            </w:pPr>
            <w:r>
              <w:rPr>
                <w:rFonts w:hint="eastAsia" w:ascii="宋体" w:hAnsi="宋体" w:cs="宋体"/>
                <w:kern w:val="0"/>
                <w:szCs w:val="21"/>
                <w:highlight w:val="none"/>
                <w:lang w:val="zh-CN" w:bidi="zh-CN"/>
              </w:rPr>
              <w:t>（经营）许可证</w:t>
            </w:r>
            <w:bookmarkEnd w:id="498"/>
          </w:p>
        </w:tc>
        <w:tc>
          <w:tcPr>
            <w:tcW w:w="6343" w:type="dxa"/>
            <w:gridSpan w:val="3"/>
            <w:vAlign w:val="center"/>
          </w:tcPr>
          <w:p>
            <w:pPr>
              <w:spacing w:line="440" w:lineRule="exact"/>
              <w:rPr>
                <w:rFonts w:ascii="宋体" w:hAnsi="宋体" w:cs="宋体"/>
                <w:szCs w:val="21"/>
                <w:highlight w:val="none"/>
              </w:rPr>
            </w:pPr>
            <w:r>
              <w:rPr>
                <w:rFonts w:hint="eastAsia" w:ascii="宋体" w:hAnsi="宋体" w:cs="宋体"/>
                <w:szCs w:val="21"/>
                <w:highlight w:val="none"/>
              </w:rPr>
              <w:t>1、发照单位              2、</w:t>
            </w:r>
            <w:r>
              <w:rPr>
                <w:rFonts w:ascii="宋体" w:hAnsi="宋体" w:cs="宋体"/>
                <w:szCs w:val="21"/>
                <w:highlight w:val="none"/>
              </w:rPr>
              <w:t>证书</w:t>
            </w:r>
            <w:r>
              <w:rPr>
                <w:rFonts w:hint="eastAsia" w:ascii="宋体" w:hAnsi="宋体" w:cs="宋体"/>
                <w:szCs w:val="21"/>
                <w:highlight w:val="none"/>
              </w:rPr>
              <w:t xml:space="preserve">号      </w:t>
            </w:r>
            <w:r>
              <w:rPr>
                <w:rFonts w:ascii="宋体" w:hAnsi="宋体" w:cs="宋体"/>
                <w:szCs w:val="21"/>
                <w:highlight w:val="none"/>
              </w:rPr>
              <w:t xml:space="preserve">   </w:t>
            </w:r>
            <w:r>
              <w:rPr>
                <w:rFonts w:hint="eastAsia" w:ascii="宋体" w:hAnsi="宋体" w:cs="宋体"/>
                <w:szCs w:val="21"/>
                <w:highlight w:val="none"/>
              </w:rPr>
              <w:t>3、</w:t>
            </w:r>
            <w:r>
              <w:rPr>
                <w:rFonts w:ascii="宋体" w:hAnsi="宋体" w:cs="宋体"/>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2157" w:type="dxa"/>
            <w:vAlign w:val="center"/>
          </w:tcPr>
          <w:p>
            <w:pPr>
              <w:jc w:val="center"/>
              <w:rPr>
                <w:rFonts w:ascii="宋体" w:hAnsi="宋体" w:cs="宋体"/>
                <w:kern w:val="0"/>
                <w:szCs w:val="21"/>
                <w:highlight w:val="none"/>
                <w:lang w:bidi="zh-CN"/>
              </w:rPr>
            </w:pPr>
            <w:r>
              <w:rPr>
                <w:rFonts w:hint="eastAsia" w:ascii="宋体" w:hAnsi="宋体" w:cs="宋体"/>
                <w:szCs w:val="21"/>
                <w:highlight w:val="none"/>
              </w:rPr>
              <w:t>投标人关联企业情况</w:t>
            </w:r>
          </w:p>
        </w:tc>
        <w:tc>
          <w:tcPr>
            <w:tcW w:w="6343" w:type="dxa"/>
            <w:gridSpan w:val="3"/>
            <w:vAlign w:val="center"/>
          </w:tcPr>
          <w:p>
            <w:pPr>
              <w:spacing w:line="440" w:lineRule="exact"/>
              <w:rPr>
                <w:rFonts w:ascii="宋体" w:hAnsi="宋体" w:cs="宋体"/>
                <w:szCs w:val="21"/>
                <w:highlight w:val="none"/>
              </w:rPr>
            </w:pPr>
          </w:p>
        </w:tc>
      </w:tr>
    </w:tbl>
    <w:p>
      <w:pPr>
        <w:jc w:val="center"/>
        <w:rPr>
          <w:rFonts w:ascii="宋体" w:hAnsi="宋体" w:cs="宋体"/>
          <w:b/>
          <w:szCs w:val="21"/>
          <w:highlight w:val="none"/>
        </w:rPr>
      </w:pPr>
    </w:p>
    <w:p>
      <w:pPr>
        <w:rPr>
          <w:rFonts w:ascii="宋体" w:hAnsi="宋体" w:cs="宋体"/>
          <w:bCs/>
          <w:szCs w:val="21"/>
          <w:highlight w:val="none"/>
        </w:rPr>
      </w:pPr>
      <w:r>
        <w:rPr>
          <w:rFonts w:hint="eastAsia" w:ascii="宋体" w:hAnsi="宋体" w:cs="宋体"/>
          <w:bCs/>
          <w:szCs w:val="21"/>
          <w:highlight w:val="none"/>
        </w:rPr>
        <w:t>注：1.投标人</w:t>
      </w:r>
      <w:r>
        <w:rPr>
          <w:rFonts w:ascii="宋体" w:hAnsi="宋体" w:cs="宋体"/>
          <w:bCs/>
          <w:szCs w:val="21"/>
          <w:highlight w:val="none"/>
        </w:rPr>
        <w:t>在</w:t>
      </w:r>
      <w:r>
        <w:rPr>
          <w:rFonts w:hint="eastAsia" w:ascii="宋体" w:hAnsi="宋体" w:cs="宋体"/>
          <w:bCs/>
          <w:szCs w:val="21"/>
          <w:highlight w:val="none"/>
        </w:rPr>
        <w:t>本表后附下列证明材料影印件（黑白或彩色）：</w:t>
      </w:r>
    </w:p>
    <w:p>
      <w:pPr>
        <w:ind w:firstLine="315" w:firstLineChars="150"/>
        <w:rPr>
          <w:rFonts w:ascii="宋体" w:hAnsi="宋体" w:cs="宋体"/>
          <w:szCs w:val="21"/>
          <w:highlight w:val="none"/>
        </w:rPr>
      </w:pPr>
      <w:r>
        <w:rPr>
          <w:rFonts w:hint="eastAsia" w:ascii="宋体" w:hAnsi="宋体" w:cs="宋体"/>
          <w:szCs w:val="21"/>
          <w:highlight w:val="none"/>
        </w:rPr>
        <w:t>（1）营业执照副本。</w:t>
      </w:r>
    </w:p>
    <w:p>
      <w:pPr>
        <w:ind w:firstLine="315" w:firstLineChars="150"/>
        <w:rPr>
          <w:rFonts w:ascii="宋体" w:hAnsi="宋体" w:cs="宋体"/>
          <w:szCs w:val="21"/>
          <w:highlight w:val="none"/>
        </w:rPr>
      </w:pPr>
      <w:r>
        <w:rPr>
          <w:rFonts w:hint="eastAsia" w:ascii="宋体" w:hAnsi="宋体" w:cs="宋体"/>
          <w:szCs w:val="21"/>
          <w:highlight w:val="none"/>
        </w:rPr>
        <w:t>（2）基本账户开户许可证或基本存款账户信息表。</w:t>
      </w:r>
    </w:p>
    <w:p>
      <w:pPr>
        <w:ind w:firstLine="315" w:firstLineChars="150"/>
        <w:rPr>
          <w:rFonts w:ascii="宋体" w:hAnsi="宋体" w:cs="宋体"/>
          <w:szCs w:val="21"/>
          <w:highlight w:val="none"/>
        </w:rPr>
      </w:pPr>
      <w:r>
        <w:rPr>
          <w:rFonts w:hint="eastAsia" w:ascii="宋体" w:hAnsi="宋体" w:cs="宋体"/>
          <w:szCs w:val="21"/>
          <w:highlight w:val="none"/>
        </w:rPr>
        <w:t>（3）</w:t>
      </w:r>
      <w:r>
        <w:rPr>
          <w:rFonts w:hint="eastAsia" w:ascii="宋体" w:hAnsi="宋体" w:cs="宋体"/>
          <w:b/>
          <w:kern w:val="0"/>
          <w:szCs w:val="21"/>
          <w:highlight w:val="none"/>
          <w:lang w:bidi="zh-CN"/>
        </w:rPr>
        <w:t>国内水</w:t>
      </w:r>
      <w:r>
        <w:rPr>
          <w:rFonts w:hint="eastAsia" w:ascii="宋体" w:hAnsi="宋体" w:cs="宋体"/>
          <w:b/>
          <w:kern w:val="0"/>
          <w:szCs w:val="21"/>
          <w:highlight w:val="none"/>
          <w:lang w:val="zh-CN" w:bidi="zh-CN"/>
        </w:rPr>
        <w:t>路运输（经营）许可证副本</w:t>
      </w:r>
      <w:r>
        <w:rPr>
          <w:rFonts w:hint="eastAsia" w:hAnsi="宋体" w:cs="宋体"/>
          <w:kern w:val="0"/>
          <w:highlight w:val="none"/>
          <w:lang w:val="zh-CN" w:bidi="zh-CN"/>
        </w:rPr>
        <w:t>。</w:t>
      </w:r>
    </w:p>
    <w:p>
      <w:pPr>
        <w:ind w:firstLine="315" w:firstLineChars="150"/>
        <w:rPr>
          <w:rFonts w:ascii="宋体" w:hAnsi="宋体" w:cs="宋体"/>
          <w:bCs/>
          <w:szCs w:val="21"/>
          <w:highlight w:val="none"/>
        </w:rPr>
      </w:pPr>
      <w:r>
        <w:rPr>
          <w:rFonts w:hint="eastAsia" w:ascii="宋体" w:hAnsi="宋体" w:cs="宋体"/>
          <w:kern w:val="0"/>
          <w:szCs w:val="21"/>
          <w:highlight w:val="none"/>
          <w:lang w:bidi="zh-CN"/>
        </w:rPr>
        <w:t>（4）</w:t>
      </w:r>
      <w:r>
        <w:rPr>
          <w:rFonts w:hint="eastAsia" w:ascii="宋体" w:hAnsi="宋体" w:cs="宋体"/>
          <w:bCs/>
          <w:szCs w:val="21"/>
          <w:highlight w:val="none"/>
        </w:rPr>
        <w:t>关联企业证明：投标人在国家企业信用信息公示系统中基础信息(体现股东及出资详细信息)的网页截图或由法定的社会验资机构出具的验资报告或股东出资情况证明。</w:t>
      </w:r>
    </w:p>
    <w:p>
      <w:pPr>
        <w:spacing w:line="600" w:lineRule="exact"/>
        <w:ind w:left="1124" w:hanging="1124" w:hangingChars="400"/>
        <w:jc w:val="center"/>
        <w:rPr>
          <w:rFonts w:ascii="宋体" w:hAnsi="宋体" w:cs="宋体"/>
          <w:b/>
          <w:sz w:val="32"/>
          <w:highlight w:val="none"/>
        </w:rPr>
      </w:pPr>
      <w:r>
        <w:rPr>
          <w:rFonts w:ascii="宋体" w:hAnsi="宋体" w:cs="宋体"/>
          <w:b/>
          <w:sz w:val="28"/>
          <w:szCs w:val="28"/>
          <w:highlight w:val="none"/>
        </w:rPr>
        <w:br w:type="page"/>
      </w:r>
      <w:r>
        <w:rPr>
          <w:rFonts w:ascii="宋体" w:hAnsi="宋体"/>
          <w:b/>
          <w:color w:val="000000"/>
          <w:kern w:val="0"/>
          <w:sz w:val="32"/>
          <w:szCs w:val="32"/>
          <w:highlight w:val="none"/>
        </w:rPr>
        <w:t xml:space="preserve"> </w:t>
      </w:r>
      <w:r>
        <w:rPr>
          <w:rFonts w:ascii="宋体" w:hAnsi="宋体" w:cs="宋体"/>
          <w:b/>
          <w:sz w:val="32"/>
          <w:szCs w:val="21"/>
          <w:highlight w:val="none"/>
        </w:rPr>
        <w:t>4-2.</w:t>
      </w:r>
      <w:r>
        <w:rPr>
          <w:rFonts w:hint="eastAsia" w:ascii="宋体" w:hAnsi="宋体" w:cs="宋体"/>
          <w:b/>
          <w:sz w:val="32"/>
          <w:highlight w:val="none"/>
        </w:rPr>
        <w:t>投标人船舶运输业绩</w:t>
      </w:r>
    </w:p>
    <w:p>
      <w:pPr>
        <w:spacing w:line="440" w:lineRule="exact"/>
        <w:rPr>
          <w:rFonts w:ascii="宋体" w:hAnsi="宋体" w:cs="宋体"/>
          <w:highlight w:val="none"/>
        </w:rPr>
      </w:pPr>
      <w:r>
        <w:rPr>
          <w:rFonts w:hint="eastAsia" w:ascii="宋体" w:hAnsi="宋体" w:cs="宋体"/>
          <w:highlight w:val="none"/>
        </w:rPr>
        <w:t>标段</w:t>
      </w:r>
      <w:r>
        <w:rPr>
          <w:rFonts w:ascii="宋体" w:hAnsi="宋体" w:cs="宋体"/>
          <w:highlight w:val="none"/>
        </w:rPr>
        <w:t xml:space="preserve">: </w:t>
      </w:r>
    </w:p>
    <w:tbl>
      <w:tblPr>
        <w:tblStyle w:val="42"/>
        <w:tblW w:w="8819" w:type="dxa"/>
        <w:tblInd w:w="78" w:type="dxa"/>
        <w:tblLayout w:type="fixed"/>
        <w:tblCellMar>
          <w:top w:w="0" w:type="dxa"/>
          <w:left w:w="108" w:type="dxa"/>
          <w:bottom w:w="0" w:type="dxa"/>
          <w:right w:w="108" w:type="dxa"/>
        </w:tblCellMar>
      </w:tblPr>
      <w:tblGrid>
        <w:gridCol w:w="2298"/>
        <w:gridCol w:w="993"/>
        <w:gridCol w:w="2693"/>
        <w:gridCol w:w="2835"/>
      </w:tblGrid>
      <w:tr>
        <w:tblPrEx>
          <w:tblLayout w:type="fixed"/>
          <w:tblCellMar>
            <w:top w:w="0" w:type="dxa"/>
            <w:left w:w="108" w:type="dxa"/>
            <w:bottom w:w="0" w:type="dxa"/>
            <w:right w:w="108" w:type="dxa"/>
          </w:tblCellMar>
        </w:tblPrEx>
        <w:trPr>
          <w:trHeight w:val="587"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项目或指标</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单  位</w:t>
            </w:r>
          </w:p>
        </w:tc>
        <w:tc>
          <w:tcPr>
            <w:tcW w:w="2693" w:type="dxa"/>
            <w:tcBorders>
              <w:top w:val="single" w:color="auto" w:sz="4" w:space="0"/>
              <w:left w:val="nil"/>
              <w:bottom w:val="single" w:color="auto" w:sz="4" w:space="0"/>
              <w:right w:val="single" w:color="auto" w:sz="4" w:space="0"/>
            </w:tcBorders>
            <w:vAlign w:val="center"/>
          </w:tcPr>
          <w:p>
            <w:pPr>
              <w:rPr>
                <w:rFonts w:ascii="宋体" w:hAnsi="宋体" w:cs="宋体"/>
                <w:szCs w:val="21"/>
                <w:highlight w:val="none"/>
              </w:rPr>
            </w:pPr>
          </w:p>
        </w:tc>
        <w:tc>
          <w:tcPr>
            <w:tcW w:w="2835" w:type="dxa"/>
            <w:tcBorders>
              <w:top w:val="single" w:color="auto" w:sz="4" w:space="0"/>
              <w:left w:val="nil"/>
              <w:bottom w:val="single" w:color="auto" w:sz="4" w:space="0"/>
              <w:right w:val="single" w:color="auto" w:sz="4" w:space="0"/>
            </w:tcBorders>
            <w:vAlign w:val="center"/>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587"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项目名称</w:t>
            </w:r>
          </w:p>
        </w:tc>
        <w:tc>
          <w:tcPr>
            <w:tcW w:w="993"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highlight w:val="none"/>
              </w:rPr>
            </w:pPr>
          </w:p>
        </w:tc>
        <w:tc>
          <w:tcPr>
            <w:tcW w:w="2693" w:type="dxa"/>
            <w:tcBorders>
              <w:top w:val="nil"/>
              <w:left w:val="nil"/>
              <w:bottom w:val="single" w:color="auto" w:sz="4" w:space="0"/>
              <w:right w:val="single" w:color="auto" w:sz="4" w:space="0"/>
            </w:tcBorders>
            <w:vAlign w:val="center"/>
          </w:tcPr>
          <w:p>
            <w:pPr>
              <w:rPr>
                <w:rFonts w:ascii="宋体" w:hAnsi="宋体" w:cs="宋体"/>
                <w:szCs w:val="21"/>
                <w:highlight w:val="none"/>
              </w:rPr>
            </w:pPr>
          </w:p>
        </w:tc>
        <w:tc>
          <w:tcPr>
            <w:tcW w:w="2835" w:type="dxa"/>
            <w:tcBorders>
              <w:top w:val="nil"/>
              <w:left w:val="nil"/>
              <w:bottom w:val="single" w:color="auto" w:sz="4" w:space="0"/>
              <w:right w:val="single" w:color="auto" w:sz="4" w:space="0"/>
            </w:tcBorders>
            <w:vAlign w:val="center"/>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587"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运输起点——终</w:t>
            </w:r>
            <w:r>
              <w:rPr>
                <w:rFonts w:ascii="宋体" w:hAnsi="宋体" w:cs="宋体"/>
                <w:szCs w:val="21"/>
                <w:highlight w:val="none"/>
              </w:rPr>
              <w:t>点</w:t>
            </w:r>
          </w:p>
        </w:tc>
        <w:tc>
          <w:tcPr>
            <w:tcW w:w="993"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w:t>
            </w:r>
          </w:p>
        </w:tc>
        <w:tc>
          <w:tcPr>
            <w:tcW w:w="2693" w:type="dxa"/>
            <w:tcBorders>
              <w:top w:val="nil"/>
              <w:left w:val="nil"/>
              <w:bottom w:val="single" w:color="auto" w:sz="4" w:space="0"/>
              <w:right w:val="single" w:color="auto" w:sz="4" w:space="0"/>
            </w:tcBorders>
            <w:vAlign w:val="center"/>
          </w:tcPr>
          <w:p>
            <w:pPr>
              <w:rPr>
                <w:rFonts w:ascii="宋体" w:hAnsi="宋体" w:cs="宋体"/>
                <w:szCs w:val="21"/>
                <w:highlight w:val="none"/>
              </w:rPr>
            </w:pPr>
          </w:p>
        </w:tc>
        <w:tc>
          <w:tcPr>
            <w:tcW w:w="2835" w:type="dxa"/>
            <w:tcBorders>
              <w:top w:val="nil"/>
              <w:left w:val="nil"/>
              <w:bottom w:val="single" w:color="auto" w:sz="4" w:space="0"/>
              <w:right w:val="single" w:color="auto" w:sz="4" w:space="0"/>
            </w:tcBorders>
            <w:vAlign w:val="center"/>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587"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运输线路所在江河名称</w:t>
            </w:r>
          </w:p>
        </w:tc>
        <w:tc>
          <w:tcPr>
            <w:tcW w:w="993"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ascii="宋体" w:hAnsi="宋体" w:cs="宋体"/>
                <w:szCs w:val="21"/>
                <w:highlight w:val="none"/>
              </w:rPr>
              <w:t>/</w:t>
            </w:r>
          </w:p>
        </w:tc>
        <w:tc>
          <w:tcPr>
            <w:tcW w:w="2693" w:type="dxa"/>
            <w:tcBorders>
              <w:top w:val="nil"/>
              <w:left w:val="nil"/>
              <w:bottom w:val="single" w:color="auto" w:sz="4" w:space="0"/>
              <w:right w:val="single" w:color="auto" w:sz="4" w:space="0"/>
            </w:tcBorders>
            <w:vAlign w:val="center"/>
          </w:tcPr>
          <w:p>
            <w:pPr>
              <w:rPr>
                <w:rFonts w:ascii="宋体" w:hAnsi="宋体" w:cs="宋体"/>
                <w:szCs w:val="21"/>
                <w:highlight w:val="none"/>
              </w:rPr>
            </w:pPr>
          </w:p>
        </w:tc>
        <w:tc>
          <w:tcPr>
            <w:tcW w:w="2835" w:type="dxa"/>
            <w:tcBorders>
              <w:top w:val="nil"/>
              <w:left w:val="nil"/>
              <w:bottom w:val="single" w:color="auto" w:sz="4" w:space="0"/>
              <w:right w:val="single" w:color="auto" w:sz="4" w:space="0"/>
            </w:tcBorders>
            <w:vAlign w:val="center"/>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676" w:hRule="atLeast"/>
        </w:trPr>
        <w:tc>
          <w:tcPr>
            <w:tcW w:w="2298" w:type="dxa"/>
            <w:tcBorders>
              <w:top w:val="nil"/>
              <w:left w:val="single" w:color="auto" w:sz="4" w:space="0"/>
              <w:bottom w:val="single" w:color="auto" w:sz="4" w:space="0"/>
              <w:right w:val="nil"/>
            </w:tcBorders>
            <w:vAlign w:val="center"/>
          </w:tcPr>
          <w:p>
            <w:pPr>
              <w:ind w:left="105" w:hanging="105" w:hangingChars="50"/>
              <w:rPr>
                <w:rFonts w:ascii="宋体" w:hAnsi="宋体" w:cs="宋体"/>
                <w:szCs w:val="21"/>
                <w:highlight w:val="none"/>
              </w:rPr>
            </w:pPr>
            <w:r>
              <w:rPr>
                <w:rFonts w:hint="eastAsia" w:ascii="宋体" w:hAnsi="宋体" w:cs="宋体"/>
                <w:szCs w:val="21"/>
                <w:highlight w:val="none"/>
              </w:rPr>
              <w:t>运输业绩</w:t>
            </w:r>
          </w:p>
        </w:tc>
        <w:tc>
          <w:tcPr>
            <w:tcW w:w="993"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吨</w:t>
            </w:r>
          </w:p>
        </w:tc>
        <w:tc>
          <w:tcPr>
            <w:tcW w:w="2693" w:type="dxa"/>
            <w:tcBorders>
              <w:top w:val="nil"/>
              <w:left w:val="nil"/>
              <w:bottom w:val="single" w:color="auto" w:sz="4" w:space="0"/>
              <w:right w:val="single" w:color="auto" w:sz="4" w:space="0"/>
            </w:tcBorders>
            <w:vAlign w:val="center"/>
          </w:tcPr>
          <w:p>
            <w:pPr>
              <w:spacing w:line="300" w:lineRule="exact"/>
              <w:rPr>
                <w:rFonts w:ascii="宋体" w:hAnsi="宋体" w:cs="宋体"/>
                <w:szCs w:val="21"/>
                <w:highlight w:val="none"/>
              </w:rPr>
            </w:pPr>
            <w:r>
              <w:rPr>
                <w:rFonts w:hint="eastAsia" w:ascii="宋体" w:hAnsi="宋体" w:cs="宋体"/>
                <w:szCs w:val="21"/>
                <w:highlight w:val="none"/>
              </w:rPr>
              <w:t>运输货物</w:t>
            </w:r>
            <w:r>
              <w:rPr>
                <w:rFonts w:ascii="宋体" w:hAnsi="宋体" w:cs="宋体"/>
                <w:szCs w:val="21"/>
                <w:highlight w:val="none"/>
              </w:rPr>
              <w:t>类型</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00" w:lineRule="exact"/>
              <w:rPr>
                <w:rFonts w:ascii="宋体" w:hAnsi="宋体" w:cs="宋体"/>
                <w:szCs w:val="21"/>
                <w:highlight w:val="none"/>
              </w:rPr>
            </w:pPr>
            <w:r>
              <w:rPr>
                <w:rFonts w:hint="eastAsia" w:ascii="宋体" w:hAnsi="宋体" w:cs="宋体"/>
                <w:szCs w:val="21"/>
                <w:highlight w:val="none"/>
              </w:rPr>
              <w:t xml:space="preserve">数量： </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吨</w:t>
            </w:r>
          </w:p>
        </w:tc>
        <w:tc>
          <w:tcPr>
            <w:tcW w:w="2835" w:type="dxa"/>
            <w:tcBorders>
              <w:top w:val="nil"/>
              <w:left w:val="nil"/>
              <w:bottom w:val="single" w:color="auto" w:sz="4" w:space="0"/>
              <w:right w:val="single" w:color="auto" w:sz="4" w:space="0"/>
            </w:tcBorders>
            <w:vAlign w:val="center"/>
          </w:tcPr>
          <w:p>
            <w:pPr>
              <w:spacing w:line="300" w:lineRule="exact"/>
              <w:rPr>
                <w:rFonts w:ascii="宋体" w:hAnsi="宋体" w:cs="宋体"/>
                <w:szCs w:val="21"/>
                <w:highlight w:val="none"/>
              </w:rPr>
            </w:pPr>
            <w:r>
              <w:rPr>
                <w:rFonts w:hint="eastAsia" w:ascii="宋体" w:hAnsi="宋体" w:cs="宋体"/>
                <w:szCs w:val="21"/>
                <w:highlight w:val="none"/>
              </w:rPr>
              <w:t>运输货物</w:t>
            </w:r>
            <w:r>
              <w:rPr>
                <w:rFonts w:ascii="宋体" w:hAnsi="宋体" w:cs="宋体"/>
                <w:szCs w:val="21"/>
                <w:highlight w:val="none"/>
              </w:rPr>
              <w:t>类型</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00" w:lineRule="exact"/>
              <w:rPr>
                <w:rFonts w:ascii="宋体" w:hAnsi="宋体" w:cs="宋体"/>
                <w:szCs w:val="21"/>
                <w:highlight w:val="none"/>
              </w:rPr>
            </w:pPr>
            <w:r>
              <w:rPr>
                <w:rFonts w:hint="eastAsia" w:ascii="宋体" w:hAnsi="宋体" w:cs="宋体"/>
                <w:szCs w:val="21"/>
                <w:highlight w:val="none"/>
              </w:rPr>
              <w:t xml:space="preserve">数量： </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吨</w:t>
            </w: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合同总价／合同结算价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万元</w:t>
            </w:r>
          </w:p>
        </w:tc>
        <w:tc>
          <w:tcPr>
            <w:tcW w:w="2693" w:type="dxa"/>
            <w:tcBorders>
              <w:top w:val="single" w:color="auto" w:sz="4" w:space="0"/>
              <w:left w:val="nil"/>
              <w:bottom w:val="single" w:color="auto" w:sz="4" w:space="0"/>
              <w:right w:val="single" w:color="auto" w:sz="4" w:space="0"/>
            </w:tcBorders>
          </w:tcPr>
          <w:p>
            <w:pPr>
              <w:rPr>
                <w:rFonts w:ascii="宋体" w:hAnsi="宋体" w:cs="宋体"/>
                <w:szCs w:val="21"/>
                <w:highlight w:val="none"/>
              </w:rPr>
            </w:pPr>
          </w:p>
        </w:tc>
        <w:tc>
          <w:tcPr>
            <w:tcW w:w="2835" w:type="dxa"/>
            <w:tcBorders>
              <w:top w:val="single" w:color="auto" w:sz="4" w:space="0"/>
              <w:left w:val="nil"/>
              <w:bottom w:val="single" w:color="auto" w:sz="4" w:space="0"/>
              <w:right w:val="single" w:color="auto" w:sz="4" w:space="0"/>
            </w:tcBorders>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合同签订时间</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p>
        </w:tc>
        <w:tc>
          <w:tcPr>
            <w:tcW w:w="2693" w:type="dxa"/>
            <w:tcBorders>
              <w:top w:val="single" w:color="auto" w:sz="4" w:space="0"/>
              <w:left w:val="nil"/>
              <w:bottom w:val="single" w:color="auto" w:sz="4" w:space="0"/>
              <w:right w:val="single" w:color="auto" w:sz="4" w:space="0"/>
            </w:tcBorders>
          </w:tcPr>
          <w:p>
            <w:pPr>
              <w:rPr>
                <w:rFonts w:ascii="宋体" w:hAnsi="宋体" w:cs="宋体"/>
                <w:szCs w:val="21"/>
                <w:highlight w:val="none"/>
              </w:rPr>
            </w:pPr>
          </w:p>
        </w:tc>
        <w:tc>
          <w:tcPr>
            <w:tcW w:w="2835" w:type="dxa"/>
            <w:tcBorders>
              <w:top w:val="single" w:color="auto" w:sz="4" w:space="0"/>
              <w:left w:val="nil"/>
              <w:bottom w:val="single" w:color="auto" w:sz="4" w:space="0"/>
              <w:right w:val="single" w:color="auto" w:sz="4" w:space="0"/>
            </w:tcBorders>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930" w:hRule="atLeast"/>
        </w:trPr>
        <w:tc>
          <w:tcPr>
            <w:tcW w:w="2298" w:type="dxa"/>
            <w:tcBorders>
              <w:top w:val="single" w:color="auto" w:sz="4" w:space="0"/>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开始供应时间/完成供应时间</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p>
        </w:tc>
        <w:tc>
          <w:tcPr>
            <w:tcW w:w="2693" w:type="dxa"/>
            <w:tcBorders>
              <w:top w:val="single" w:color="auto" w:sz="4" w:space="0"/>
              <w:left w:val="nil"/>
              <w:bottom w:val="single" w:color="auto" w:sz="4" w:space="0"/>
              <w:right w:val="single" w:color="auto" w:sz="4" w:space="0"/>
            </w:tcBorders>
          </w:tcPr>
          <w:p>
            <w:pPr>
              <w:rPr>
                <w:rFonts w:ascii="宋体" w:hAnsi="宋体" w:cs="宋体"/>
                <w:szCs w:val="21"/>
                <w:highlight w:val="none"/>
              </w:rPr>
            </w:pPr>
          </w:p>
        </w:tc>
        <w:tc>
          <w:tcPr>
            <w:tcW w:w="2835" w:type="dxa"/>
            <w:tcBorders>
              <w:top w:val="single" w:color="auto" w:sz="4" w:space="0"/>
              <w:left w:val="nil"/>
              <w:bottom w:val="single" w:color="auto" w:sz="4" w:space="0"/>
              <w:right w:val="single" w:color="auto" w:sz="4" w:space="0"/>
            </w:tcBorders>
          </w:tcPr>
          <w:p>
            <w:pPr>
              <w:rPr>
                <w:rFonts w:ascii="宋体" w:hAnsi="宋体" w:cs="宋体"/>
                <w:szCs w:val="21"/>
                <w:highlight w:val="none"/>
              </w:rPr>
            </w:pPr>
          </w:p>
        </w:tc>
      </w:tr>
      <w:tr>
        <w:tblPrEx>
          <w:tblLayout w:type="fixed"/>
          <w:tblCellMar>
            <w:top w:w="0" w:type="dxa"/>
            <w:left w:w="108" w:type="dxa"/>
            <w:bottom w:w="0" w:type="dxa"/>
            <w:right w:w="108" w:type="dxa"/>
          </w:tblCellMar>
        </w:tblPrEx>
        <w:trPr>
          <w:trHeight w:val="930"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买方单位全称</w:t>
            </w:r>
          </w:p>
          <w:p>
            <w:pPr>
              <w:rPr>
                <w:rFonts w:ascii="宋体" w:hAnsi="宋体" w:cs="宋体"/>
                <w:szCs w:val="21"/>
                <w:highlight w:val="none"/>
              </w:rPr>
            </w:pPr>
            <w:r>
              <w:rPr>
                <w:rFonts w:hint="eastAsia" w:ascii="宋体" w:hAnsi="宋体" w:cs="宋体"/>
                <w:szCs w:val="21"/>
                <w:highlight w:val="none"/>
              </w:rPr>
              <w:t xml:space="preserve">及联系方式             </w:t>
            </w:r>
          </w:p>
        </w:tc>
        <w:tc>
          <w:tcPr>
            <w:tcW w:w="993" w:type="dxa"/>
            <w:tcBorders>
              <w:top w:val="nil"/>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　</w:t>
            </w:r>
          </w:p>
        </w:tc>
        <w:tc>
          <w:tcPr>
            <w:tcW w:w="2693" w:type="dxa"/>
            <w:tcBorders>
              <w:top w:val="nil"/>
              <w:left w:val="nil"/>
              <w:bottom w:val="single" w:color="auto" w:sz="4" w:space="0"/>
              <w:right w:val="single" w:color="auto" w:sz="4" w:space="0"/>
            </w:tcBorders>
          </w:tcPr>
          <w:p>
            <w:pPr>
              <w:rPr>
                <w:rFonts w:ascii="宋体" w:hAnsi="宋体" w:cs="宋体"/>
                <w:szCs w:val="21"/>
                <w:highlight w:val="none"/>
              </w:rPr>
            </w:pPr>
            <w:r>
              <w:rPr>
                <w:rFonts w:hint="eastAsia" w:ascii="宋体" w:hAnsi="宋体" w:cs="宋体"/>
                <w:szCs w:val="21"/>
                <w:highlight w:val="none"/>
              </w:rPr>
              <w:t>　</w:t>
            </w:r>
          </w:p>
        </w:tc>
        <w:tc>
          <w:tcPr>
            <w:tcW w:w="2835" w:type="dxa"/>
            <w:tcBorders>
              <w:top w:val="nil"/>
              <w:left w:val="nil"/>
              <w:bottom w:val="single" w:color="auto" w:sz="4" w:space="0"/>
              <w:right w:val="single" w:color="auto" w:sz="4" w:space="0"/>
            </w:tcBorders>
          </w:tcPr>
          <w:p>
            <w:pPr>
              <w:rPr>
                <w:rFonts w:ascii="宋体" w:hAnsi="宋体" w:cs="宋体"/>
                <w:szCs w:val="21"/>
                <w:highlight w:val="none"/>
              </w:rPr>
            </w:pPr>
            <w:r>
              <w:rPr>
                <w:rFonts w:hint="eastAsia" w:ascii="宋体" w:hAnsi="宋体" w:cs="宋体"/>
                <w:szCs w:val="21"/>
                <w:highlight w:val="none"/>
              </w:rPr>
              <w:t>　</w:t>
            </w:r>
          </w:p>
        </w:tc>
      </w:tr>
      <w:tr>
        <w:tblPrEx>
          <w:tblLayout w:type="fixed"/>
          <w:tblCellMar>
            <w:top w:w="0" w:type="dxa"/>
            <w:left w:w="108" w:type="dxa"/>
            <w:bottom w:w="0" w:type="dxa"/>
            <w:right w:w="108" w:type="dxa"/>
          </w:tblCellMar>
        </w:tblPrEx>
        <w:trPr>
          <w:trHeight w:val="930" w:hRule="atLeast"/>
        </w:trPr>
        <w:tc>
          <w:tcPr>
            <w:tcW w:w="2298" w:type="dxa"/>
            <w:tcBorders>
              <w:top w:val="nil"/>
              <w:left w:val="single" w:color="auto" w:sz="4" w:space="0"/>
              <w:bottom w:val="single" w:color="auto" w:sz="4" w:space="0"/>
              <w:right w:val="nil"/>
            </w:tcBorders>
            <w:vAlign w:val="center"/>
          </w:tcPr>
          <w:p>
            <w:pPr>
              <w:rPr>
                <w:rFonts w:ascii="宋体" w:hAnsi="宋体" w:cs="宋体"/>
                <w:szCs w:val="21"/>
                <w:highlight w:val="none"/>
              </w:rPr>
            </w:pPr>
            <w:r>
              <w:rPr>
                <w:rFonts w:hint="eastAsia" w:ascii="宋体" w:hAnsi="宋体" w:cs="宋体"/>
                <w:szCs w:val="21"/>
                <w:highlight w:val="none"/>
              </w:rPr>
              <w:t>项目概述</w:t>
            </w:r>
          </w:p>
        </w:tc>
        <w:tc>
          <w:tcPr>
            <w:tcW w:w="993" w:type="dxa"/>
            <w:tcBorders>
              <w:top w:val="nil"/>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　</w:t>
            </w:r>
          </w:p>
        </w:tc>
        <w:tc>
          <w:tcPr>
            <w:tcW w:w="2693" w:type="dxa"/>
            <w:tcBorders>
              <w:top w:val="nil"/>
              <w:left w:val="nil"/>
              <w:bottom w:val="single" w:color="auto" w:sz="4" w:space="0"/>
              <w:right w:val="single" w:color="auto" w:sz="4" w:space="0"/>
            </w:tcBorders>
            <w:vAlign w:val="center"/>
          </w:tcPr>
          <w:p>
            <w:pPr>
              <w:rPr>
                <w:rFonts w:ascii="宋体" w:hAnsi="宋体" w:cs="宋体"/>
                <w:szCs w:val="21"/>
                <w:highlight w:val="none"/>
              </w:rPr>
            </w:pPr>
          </w:p>
        </w:tc>
        <w:tc>
          <w:tcPr>
            <w:tcW w:w="2835" w:type="dxa"/>
            <w:tcBorders>
              <w:top w:val="nil"/>
              <w:left w:val="nil"/>
              <w:bottom w:val="single" w:color="auto" w:sz="4" w:space="0"/>
              <w:right w:val="single" w:color="auto" w:sz="4" w:space="0"/>
            </w:tcBorders>
            <w:vAlign w:val="center"/>
          </w:tcPr>
          <w:p>
            <w:pPr>
              <w:rPr>
                <w:rFonts w:ascii="宋体" w:hAnsi="宋体" w:cs="宋体"/>
                <w:szCs w:val="21"/>
                <w:highlight w:val="none"/>
              </w:rPr>
            </w:pPr>
          </w:p>
        </w:tc>
      </w:tr>
    </w:tbl>
    <w:p>
      <w:pPr>
        <w:snapToGrid w:val="0"/>
        <w:spacing w:line="276" w:lineRule="auto"/>
        <w:ind w:firstLine="210" w:firstLineChars="100"/>
        <w:rPr>
          <w:rFonts w:ascii="宋体" w:hAnsi="宋体" w:cs="宋体"/>
          <w:szCs w:val="21"/>
          <w:highlight w:val="none"/>
        </w:rPr>
      </w:pPr>
      <w:r>
        <w:rPr>
          <w:rFonts w:hint="eastAsia" w:ascii="宋体" w:hAnsi="宋体" w:cs="宋体"/>
          <w:szCs w:val="21"/>
          <w:highlight w:val="none"/>
        </w:rPr>
        <w:t>注：1、</w:t>
      </w:r>
      <w:r>
        <w:rPr>
          <w:rFonts w:hint="eastAsia" w:ascii="宋体" w:hAnsi="宋体" w:cs="宋体"/>
          <w:kern w:val="0"/>
          <w:highlight w:val="none"/>
        </w:rPr>
        <w:t>近年投标人</w:t>
      </w:r>
      <w:r>
        <w:rPr>
          <w:rFonts w:hint="eastAsia" w:hAnsi="宋体" w:cs="宋体"/>
          <w:highlight w:val="none"/>
        </w:rPr>
        <w:t>的</w:t>
      </w:r>
      <w:r>
        <w:rPr>
          <w:rFonts w:hint="eastAsia" w:ascii="宋体" w:hAnsi="宋体" w:cs="宋体"/>
          <w:kern w:val="0"/>
          <w:highlight w:val="none"/>
        </w:rPr>
        <w:t>船舶运输业绩，</w:t>
      </w:r>
      <w:r>
        <w:rPr>
          <w:rFonts w:ascii="宋体" w:hAnsi="宋体" w:cs="宋体"/>
          <w:kern w:val="0"/>
          <w:highlight w:val="none"/>
        </w:rPr>
        <w:t>从2018年1月1日起，</w:t>
      </w:r>
      <w:r>
        <w:rPr>
          <w:rFonts w:hint="eastAsia" w:ascii="宋体" w:hAnsi="宋体" w:cs="宋体"/>
          <w:kern w:val="0"/>
          <w:highlight w:val="none"/>
        </w:rPr>
        <w:t>以</w:t>
      </w:r>
      <w:r>
        <w:rPr>
          <w:rFonts w:hint="eastAsia" w:ascii="宋体" w:hAnsi="宋体" w:cs="宋体"/>
          <w:szCs w:val="21"/>
          <w:highlight w:val="none"/>
        </w:rPr>
        <w:t>合同的签订时间、合同中</w:t>
      </w:r>
      <w:r>
        <w:rPr>
          <w:rFonts w:ascii="宋体" w:hAnsi="宋体" w:cs="宋体"/>
          <w:szCs w:val="21"/>
          <w:highlight w:val="none"/>
        </w:rPr>
        <w:t>的</w:t>
      </w:r>
      <w:r>
        <w:rPr>
          <w:rFonts w:hint="eastAsia" w:ascii="宋体" w:hAnsi="宋体" w:cs="宋体"/>
          <w:szCs w:val="21"/>
          <w:highlight w:val="none"/>
        </w:rPr>
        <w:t>运输数量为准；合同协议书中</w:t>
      </w:r>
      <w:r>
        <w:rPr>
          <w:rFonts w:ascii="宋体" w:hAnsi="宋体" w:cs="宋体"/>
          <w:szCs w:val="21"/>
          <w:highlight w:val="none"/>
        </w:rPr>
        <w:t>无法证明的，应提供</w:t>
      </w:r>
      <w:r>
        <w:rPr>
          <w:rFonts w:hint="eastAsia" w:ascii="宋体" w:hAnsi="宋体" w:cs="宋体"/>
          <w:szCs w:val="21"/>
          <w:highlight w:val="none"/>
        </w:rPr>
        <w:t>证明材料反映运输时间、运输数量。投标人必须附合同协议书，合同</w:t>
      </w:r>
      <w:r>
        <w:rPr>
          <w:rFonts w:ascii="宋体" w:hAnsi="宋体" w:cs="宋体"/>
          <w:szCs w:val="21"/>
          <w:highlight w:val="none"/>
        </w:rPr>
        <w:t>协议书中</w:t>
      </w:r>
      <w:r>
        <w:rPr>
          <w:rFonts w:hint="eastAsia" w:ascii="宋体" w:hAnsi="宋体" w:cs="宋体"/>
          <w:szCs w:val="21"/>
          <w:highlight w:val="none"/>
        </w:rPr>
        <w:t>无法反映资格审查条件的</w:t>
      </w:r>
      <w:r>
        <w:rPr>
          <w:rFonts w:ascii="宋体" w:hAnsi="宋体" w:cs="宋体"/>
          <w:szCs w:val="21"/>
          <w:highlight w:val="none"/>
        </w:rPr>
        <w:t>应附</w:t>
      </w:r>
      <w:r>
        <w:rPr>
          <w:rFonts w:hint="eastAsia" w:ascii="宋体" w:hAnsi="宋体" w:cs="宋体"/>
          <w:szCs w:val="21"/>
          <w:highlight w:val="none"/>
        </w:rPr>
        <w:t>采购人（或</w:t>
      </w:r>
      <w:r>
        <w:rPr>
          <w:rFonts w:ascii="宋体" w:hAnsi="宋体" w:cs="宋体"/>
          <w:szCs w:val="21"/>
          <w:highlight w:val="none"/>
        </w:rPr>
        <w:t>其运输合同甲方</w:t>
      </w:r>
      <w:r>
        <w:rPr>
          <w:rFonts w:hint="eastAsia" w:ascii="宋体" w:hAnsi="宋体" w:cs="宋体"/>
          <w:szCs w:val="21"/>
          <w:highlight w:val="none"/>
        </w:rPr>
        <w:t>）出具的证明材料影印件（黑白或彩色）。</w:t>
      </w:r>
    </w:p>
    <w:p>
      <w:pPr>
        <w:snapToGrid w:val="0"/>
        <w:spacing w:line="276" w:lineRule="auto"/>
        <w:ind w:firstLine="630" w:firstLineChars="300"/>
        <w:rPr>
          <w:rFonts w:ascii="宋体" w:hAnsi="宋体" w:cs="宋体"/>
          <w:kern w:val="0"/>
          <w:szCs w:val="21"/>
          <w:highlight w:val="none"/>
        </w:rPr>
      </w:pPr>
      <w:r>
        <w:rPr>
          <w:rFonts w:hint="eastAsia" w:ascii="宋体" w:hAnsi="宋体" w:cs="宋体"/>
          <w:szCs w:val="21"/>
          <w:highlight w:val="none"/>
        </w:rPr>
        <w:t>2、</w:t>
      </w:r>
      <w:r>
        <w:rPr>
          <w:rFonts w:hint="eastAsia" w:ascii="宋体" w:hAnsi="宋体" w:cs="宋体"/>
          <w:kern w:val="0"/>
          <w:szCs w:val="21"/>
          <w:highlight w:val="none"/>
        </w:rPr>
        <w:t>（1）如近年来，投标人法人机构发生合法变更或重组或法人名称变更时，应提供相关部门的合法批件或其他相关证明材料来证明其所附业绩的继承性。</w:t>
      </w:r>
    </w:p>
    <w:p>
      <w:pPr>
        <w:snapToGrid w:val="0"/>
        <w:spacing w:line="276" w:lineRule="auto"/>
        <w:ind w:firstLine="525" w:firstLineChars="250"/>
        <w:rPr>
          <w:rFonts w:ascii="宋体" w:hAnsi="宋体" w:cs="宋体"/>
          <w:highlight w:val="none"/>
        </w:rPr>
      </w:pPr>
      <w:r>
        <w:rPr>
          <w:rFonts w:hint="eastAsia" w:ascii="宋体" w:hAnsi="宋体" w:cs="宋体"/>
          <w:kern w:val="0"/>
          <w:highlight w:val="none"/>
        </w:rPr>
        <w:t>（2）具有母子关系公司，业绩不能互用。如涉及企业分、合的，应提供相关部门的合法批件或其他相关证明。</w:t>
      </w:r>
    </w:p>
    <w:p>
      <w:pPr>
        <w:snapToGrid w:val="0"/>
        <w:spacing w:line="276" w:lineRule="auto"/>
        <w:ind w:firstLine="630" w:firstLineChars="300"/>
        <w:rPr>
          <w:rFonts w:ascii="宋体" w:hAnsi="宋体" w:cs="宋体"/>
          <w:szCs w:val="21"/>
          <w:highlight w:val="none"/>
        </w:rPr>
      </w:pPr>
      <w:r>
        <w:rPr>
          <w:rFonts w:hint="eastAsia" w:ascii="宋体" w:hAnsi="宋体" w:cs="宋体"/>
          <w:szCs w:val="21"/>
          <w:highlight w:val="none"/>
        </w:rPr>
        <w:t>3、以下情况业绩视为无效：</w:t>
      </w:r>
    </w:p>
    <w:p>
      <w:pPr>
        <w:snapToGrid w:val="0"/>
        <w:spacing w:line="276" w:lineRule="auto"/>
        <w:ind w:firstLine="630" w:firstLineChars="300"/>
        <w:rPr>
          <w:rFonts w:ascii="宋体" w:hAnsi="宋体" w:cs="宋体"/>
          <w:szCs w:val="21"/>
          <w:highlight w:val="none"/>
        </w:rPr>
      </w:pPr>
      <w:r>
        <w:rPr>
          <w:rFonts w:hint="eastAsia" w:ascii="宋体" w:hAnsi="宋体" w:cs="宋体"/>
          <w:szCs w:val="21"/>
          <w:highlight w:val="none"/>
        </w:rPr>
        <w:t>（1）未附合格证明材料或证明材料不完整的业绩；</w:t>
      </w:r>
    </w:p>
    <w:p>
      <w:pPr>
        <w:snapToGrid w:val="0"/>
        <w:spacing w:line="276" w:lineRule="auto"/>
        <w:ind w:firstLine="630" w:firstLineChars="300"/>
        <w:rPr>
          <w:rFonts w:ascii="宋体" w:hAnsi="宋体" w:cs="宋体"/>
          <w:szCs w:val="21"/>
          <w:highlight w:val="none"/>
        </w:rPr>
      </w:pPr>
      <w:r>
        <w:rPr>
          <w:rFonts w:hint="eastAsia" w:ascii="宋体" w:hAnsi="宋体" w:cs="宋体"/>
          <w:szCs w:val="21"/>
          <w:highlight w:val="none"/>
        </w:rPr>
        <w:t>（2）不满足资格审查条件的业绩。</w:t>
      </w:r>
    </w:p>
    <w:p>
      <w:pPr>
        <w:spacing w:line="360" w:lineRule="auto"/>
        <w:jc w:val="center"/>
        <w:rPr>
          <w:rFonts w:ascii="宋体" w:hAnsi="宋体"/>
          <w:b/>
          <w:sz w:val="28"/>
          <w:szCs w:val="24"/>
          <w:highlight w:val="none"/>
        </w:rPr>
      </w:pPr>
    </w:p>
    <w:p>
      <w:pPr>
        <w:spacing w:line="360" w:lineRule="auto"/>
        <w:jc w:val="center"/>
        <w:rPr>
          <w:rFonts w:ascii="宋体" w:hAnsi="宋体"/>
          <w:b/>
          <w:sz w:val="28"/>
          <w:szCs w:val="24"/>
          <w:highlight w:val="none"/>
        </w:rPr>
      </w:pPr>
    </w:p>
    <w:p>
      <w:pPr>
        <w:spacing w:line="360" w:lineRule="auto"/>
        <w:jc w:val="center"/>
        <w:rPr>
          <w:rFonts w:ascii="宋体" w:hAnsi="宋体"/>
          <w:b/>
          <w:sz w:val="28"/>
          <w:szCs w:val="24"/>
          <w:highlight w:val="none"/>
        </w:rPr>
      </w:pPr>
    </w:p>
    <w:p>
      <w:pPr>
        <w:spacing w:line="360" w:lineRule="auto"/>
        <w:jc w:val="center"/>
        <w:rPr>
          <w:rFonts w:ascii="宋体" w:hAnsi="宋体"/>
          <w:b/>
          <w:sz w:val="28"/>
          <w:szCs w:val="24"/>
          <w:highlight w:val="none"/>
        </w:rPr>
      </w:pPr>
      <w:r>
        <w:rPr>
          <w:rFonts w:ascii="宋体" w:hAnsi="宋体"/>
          <w:b/>
          <w:sz w:val="28"/>
          <w:szCs w:val="24"/>
          <w:highlight w:val="none"/>
        </w:rPr>
        <w:br w:type="page"/>
      </w:r>
      <w:r>
        <w:rPr>
          <w:rFonts w:hint="eastAsia" w:ascii="宋体" w:hAnsi="宋体"/>
          <w:b/>
          <w:sz w:val="28"/>
          <w:szCs w:val="24"/>
          <w:highlight w:val="none"/>
        </w:rPr>
        <w:t>4-3、投标人信誉情况表</w:t>
      </w:r>
    </w:p>
    <w:p>
      <w:pPr>
        <w:spacing w:line="360" w:lineRule="auto"/>
        <w:rPr>
          <w:rFonts w:ascii="宋体" w:hAnsi="宋体" w:cs="宋体"/>
          <w:szCs w:val="22"/>
          <w:highlight w:val="none"/>
        </w:rPr>
      </w:pPr>
    </w:p>
    <w:p>
      <w:pPr>
        <w:spacing w:line="360" w:lineRule="auto"/>
        <w:rPr>
          <w:rFonts w:ascii="宋体" w:hAnsi="宋体" w:cs="宋体"/>
          <w:szCs w:val="21"/>
          <w:highlight w:val="none"/>
        </w:rPr>
      </w:pPr>
      <w:r>
        <w:rPr>
          <w:rFonts w:hint="eastAsia" w:ascii="宋体" w:hAnsi="宋体" w:cs="宋体"/>
          <w:kern w:val="0"/>
          <w:szCs w:val="21"/>
          <w:highlight w:val="none"/>
          <w:lang w:val="zh-CN" w:bidi="zh-CN"/>
        </w:rPr>
        <w:t>四川交投物流有限公司</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我方承诺：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（1）在</w:t>
      </w:r>
      <w:r>
        <w:rPr>
          <w:rFonts w:hint="eastAsia" w:ascii="宋体" w:hAnsi="宋体" w:cs="宋体"/>
          <w:kern w:val="0"/>
          <w:szCs w:val="21"/>
          <w:highlight w:val="none"/>
          <w:lang w:val="zh-CN" w:bidi="zh-CN"/>
        </w:rPr>
        <w:t>近三年内（201</w:t>
      </w:r>
      <w:r>
        <w:rPr>
          <w:rFonts w:ascii="宋体" w:hAnsi="宋体" w:cs="宋体"/>
          <w:kern w:val="0"/>
          <w:szCs w:val="21"/>
          <w:highlight w:val="none"/>
          <w:lang w:val="zh-CN" w:bidi="zh-CN"/>
        </w:rPr>
        <w:t>8</w:t>
      </w:r>
      <w:r>
        <w:rPr>
          <w:rFonts w:hint="eastAsia" w:ascii="宋体" w:hAnsi="宋体" w:cs="宋体"/>
          <w:kern w:val="0"/>
          <w:szCs w:val="21"/>
          <w:highlight w:val="none"/>
          <w:lang w:val="zh-CN" w:bidi="zh-CN"/>
        </w:rPr>
        <w:t>年1月1日起至本项目投标文件递交之日止）未被四川省交通运输厅明令禁止投标且在行政处罚期内；</w:t>
      </w:r>
    </w:p>
    <w:p>
      <w:pPr>
        <w:spacing w:line="360" w:lineRule="auto"/>
        <w:ind w:firstLine="420" w:firstLineChars="200"/>
        <w:rPr>
          <w:rFonts w:ascii="宋体" w:hAnsi="宋体" w:cs="宋体"/>
          <w:kern w:val="0"/>
          <w:szCs w:val="21"/>
          <w:highlight w:val="none"/>
          <w:lang w:bidi="zh-CN"/>
        </w:rPr>
      </w:pPr>
      <w:r>
        <w:rPr>
          <w:rFonts w:hint="eastAsia" w:ascii="宋体" w:hAnsi="宋体" w:cs="宋体"/>
          <w:kern w:val="0"/>
          <w:szCs w:val="21"/>
          <w:highlight w:val="none"/>
          <w:lang w:bidi="zh-CN"/>
        </w:rPr>
        <w:t>（2）</w:t>
      </w:r>
      <w:r>
        <w:rPr>
          <w:rFonts w:hint="eastAsia" w:ascii="宋体" w:hAnsi="宋体" w:cs="宋体"/>
          <w:kern w:val="0"/>
          <w:szCs w:val="21"/>
          <w:highlight w:val="none"/>
          <w:lang w:val="zh-CN" w:bidi="zh-CN"/>
        </w:rPr>
        <w:t>投标人在近三年内</w:t>
      </w:r>
      <w:r>
        <w:rPr>
          <w:rFonts w:hint="eastAsia" w:ascii="宋体" w:hAnsi="宋体" w:cs="宋体"/>
          <w:kern w:val="0"/>
          <w:szCs w:val="21"/>
          <w:highlight w:val="none"/>
          <w:lang w:bidi="zh-CN"/>
        </w:rPr>
        <w:t>（201</w:t>
      </w:r>
      <w:r>
        <w:rPr>
          <w:rFonts w:ascii="宋体" w:hAnsi="宋体" w:cs="宋体"/>
          <w:kern w:val="0"/>
          <w:szCs w:val="21"/>
          <w:highlight w:val="none"/>
          <w:lang w:bidi="zh-CN"/>
        </w:rPr>
        <w:t>8</w:t>
      </w:r>
      <w:r>
        <w:rPr>
          <w:rFonts w:hint="eastAsia" w:ascii="宋体" w:hAnsi="宋体" w:cs="宋体"/>
          <w:kern w:val="0"/>
          <w:szCs w:val="21"/>
          <w:highlight w:val="none"/>
          <w:lang w:val="zh-CN" w:bidi="zh-CN"/>
        </w:rPr>
        <w:t>年</w:t>
      </w:r>
      <w:r>
        <w:rPr>
          <w:rFonts w:hint="eastAsia" w:ascii="宋体" w:hAnsi="宋体" w:cs="宋体"/>
          <w:kern w:val="0"/>
          <w:szCs w:val="21"/>
          <w:highlight w:val="none"/>
          <w:lang w:bidi="zh-CN"/>
        </w:rPr>
        <w:t>1</w:t>
      </w:r>
      <w:r>
        <w:rPr>
          <w:rFonts w:hint="eastAsia" w:ascii="宋体" w:hAnsi="宋体" w:cs="宋体"/>
          <w:kern w:val="0"/>
          <w:szCs w:val="21"/>
          <w:highlight w:val="none"/>
          <w:lang w:val="zh-CN" w:bidi="zh-CN"/>
        </w:rPr>
        <w:t>月</w:t>
      </w:r>
      <w:r>
        <w:rPr>
          <w:rFonts w:hint="eastAsia" w:ascii="宋体" w:hAnsi="宋体" w:cs="宋体"/>
          <w:kern w:val="0"/>
          <w:szCs w:val="21"/>
          <w:highlight w:val="none"/>
          <w:lang w:bidi="zh-CN"/>
        </w:rPr>
        <w:t>1</w:t>
      </w:r>
      <w:r>
        <w:rPr>
          <w:rFonts w:hint="eastAsia" w:ascii="宋体" w:hAnsi="宋体" w:cs="宋体"/>
          <w:kern w:val="0"/>
          <w:szCs w:val="21"/>
          <w:highlight w:val="none"/>
          <w:lang w:val="zh-CN" w:bidi="zh-CN"/>
        </w:rPr>
        <w:t>日起至本项目投标文件递交之日止</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未在水路运输建设综合管理信息系统中列入行政处罚期内</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以交通运输部网站</w:t>
      </w:r>
      <w:r>
        <w:rPr>
          <w:rFonts w:hint="eastAsia" w:ascii="宋体" w:hAnsi="宋体" w:cs="宋体"/>
          <w:kern w:val="0"/>
          <w:szCs w:val="21"/>
          <w:highlight w:val="none"/>
          <w:lang w:bidi="zh-CN"/>
        </w:rPr>
        <w:t>（</w:t>
      </w:r>
      <w:r>
        <w:rPr>
          <w:rFonts w:ascii="宋体" w:hAnsi="宋体" w:cs="宋体"/>
          <w:kern w:val="0"/>
          <w:szCs w:val="21"/>
          <w:highlight w:val="none"/>
          <w:lang w:bidi="zh-CN"/>
        </w:rPr>
        <w:t>http://jtt.sc.gov.cn）</w:t>
      </w:r>
      <w:r>
        <w:rPr>
          <w:rFonts w:hint="eastAsia" w:ascii="宋体" w:hAnsi="宋体" w:cs="宋体"/>
          <w:kern w:val="0"/>
          <w:szCs w:val="21"/>
          <w:highlight w:val="none"/>
          <w:lang w:val="zh-CN" w:bidi="zh-CN"/>
        </w:rPr>
        <w:t>上公布的内容为准</w:t>
      </w:r>
      <w:r>
        <w:rPr>
          <w:rFonts w:hint="eastAsia" w:ascii="宋体" w:hAnsi="宋体" w:cs="宋体"/>
          <w:kern w:val="0"/>
          <w:szCs w:val="21"/>
          <w:highlight w:val="none"/>
          <w:lang w:bidi="zh-CN"/>
        </w:rPr>
        <w:t>）；</w:t>
      </w:r>
    </w:p>
    <w:p>
      <w:pPr>
        <w:spacing w:line="360" w:lineRule="auto"/>
        <w:ind w:firstLine="420" w:firstLineChars="200"/>
        <w:rPr>
          <w:rFonts w:ascii="宋体" w:hAnsi="宋体" w:cs="宋体"/>
          <w:kern w:val="0"/>
          <w:szCs w:val="21"/>
          <w:highlight w:val="none"/>
          <w:lang w:bidi="zh-CN"/>
        </w:rPr>
      </w:pPr>
      <w:r>
        <w:rPr>
          <w:rFonts w:hint="eastAsia" w:ascii="宋体" w:hAnsi="宋体" w:cs="宋体"/>
          <w:kern w:val="0"/>
          <w:szCs w:val="21"/>
          <w:highlight w:val="none"/>
          <w:lang w:bidi="zh-CN"/>
        </w:rPr>
        <w:t>（</w:t>
      </w:r>
      <w:r>
        <w:rPr>
          <w:rFonts w:ascii="宋体" w:hAnsi="宋体" w:cs="宋体"/>
          <w:kern w:val="0"/>
          <w:szCs w:val="21"/>
          <w:highlight w:val="none"/>
          <w:lang w:bidi="zh-CN"/>
        </w:rPr>
        <w:t>3</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在</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国家企业信用信息公示系统</w:t>
      </w:r>
      <w:r>
        <w:rPr>
          <w:rFonts w:hint="eastAsia" w:ascii="宋体" w:hAnsi="宋体" w:cs="宋体"/>
          <w:kern w:val="0"/>
          <w:szCs w:val="21"/>
          <w:highlight w:val="none"/>
          <w:lang w:bidi="zh-CN"/>
        </w:rPr>
        <w:t>”（http://www.gsxt.gov.cn）</w:t>
      </w:r>
      <w:r>
        <w:rPr>
          <w:rFonts w:hint="eastAsia" w:ascii="宋体" w:hAnsi="宋体" w:cs="宋体"/>
          <w:kern w:val="0"/>
          <w:szCs w:val="21"/>
          <w:highlight w:val="none"/>
          <w:lang w:val="zh-CN" w:bidi="zh-CN"/>
        </w:rPr>
        <w:t>中未被列为严重违法失信企业</w:t>
      </w:r>
      <w:r>
        <w:rPr>
          <w:rFonts w:hint="eastAsia" w:ascii="宋体" w:hAnsi="宋体" w:cs="宋体"/>
          <w:kern w:val="0"/>
          <w:szCs w:val="21"/>
          <w:highlight w:val="none"/>
          <w:lang w:bidi="zh-CN"/>
        </w:rPr>
        <w:t>；</w:t>
      </w:r>
    </w:p>
    <w:p>
      <w:pPr>
        <w:spacing w:line="360" w:lineRule="auto"/>
        <w:ind w:firstLine="420" w:firstLineChars="200"/>
        <w:rPr>
          <w:rFonts w:ascii="宋体" w:hAnsi="宋体" w:cs="宋体"/>
          <w:kern w:val="0"/>
          <w:szCs w:val="21"/>
          <w:highlight w:val="none"/>
          <w:lang w:bidi="zh-CN"/>
        </w:rPr>
      </w:pPr>
      <w:r>
        <w:rPr>
          <w:rFonts w:hint="eastAsia" w:ascii="宋体" w:hAnsi="宋体" w:cs="宋体"/>
          <w:kern w:val="0"/>
          <w:szCs w:val="21"/>
          <w:highlight w:val="none"/>
          <w:lang w:bidi="zh-CN"/>
        </w:rPr>
        <w:t>（</w:t>
      </w:r>
      <w:r>
        <w:rPr>
          <w:rFonts w:ascii="宋体" w:hAnsi="宋体" w:cs="宋体"/>
          <w:kern w:val="0"/>
          <w:szCs w:val="21"/>
          <w:highlight w:val="none"/>
          <w:lang w:bidi="zh-CN"/>
        </w:rPr>
        <w:t>4</w:t>
      </w:r>
      <w:r>
        <w:rPr>
          <w:rFonts w:hint="eastAsia" w:ascii="宋体" w:hAnsi="宋体" w:cs="宋体"/>
          <w:kern w:val="0"/>
          <w:szCs w:val="21"/>
          <w:highlight w:val="none"/>
          <w:lang w:bidi="zh-CN"/>
        </w:rPr>
        <w:t>）</w:t>
      </w:r>
      <w:bookmarkStart w:id="499" w:name="_Hlk57900467"/>
      <w:r>
        <w:rPr>
          <w:rFonts w:hint="eastAsia" w:ascii="宋体" w:hAnsi="宋体" w:cs="宋体"/>
          <w:kern w:val="0"/>
          <w:szCs w:val="21"/>
          <w:highlight w:val="none"/>
          <w:lang w:val="zh-CN" w:bidi="zh-CN"/>
        </w:rPr>
        <w:t>在</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信用中国</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网站</w:t>
      </w:r>
      <w:r>
        <w:rPr>
          <w:rFonts w:hint="eastAsia" w:ascii="宋体" w:hAnsi="宋体" w:cs="宋体"/>
          <w:kern w:val="0"/>
          <w:szCs w:val="21"/>
          <w:highlight w:val="none"/>
          <w:lang w:bidi="zh-CN"/>
        </w:rPr>
        <w:t>（</w:t>
      </w:r>
      <w:r>
        <w:rPr>
          <w:rFonts w:ascii="宋体" w:hAnsi="宋体" w:cs="宋体"/>
          <w:kern w:val="0"/>
          <w:szCs w:val="21"/>
          <w:highlight w:val="none"/>
          <w:lang w:bidi="zh-CN"/>
        </w:rPr>
        <w:t>http://www.creditchina.gov.cn）</w:t>
      </w:r>
      <w:r>
        <w:rPr>
          <w:rFonts w:hint="eastAsia" w:ascii="宋体" w:hAnsi="宋体" w:cs="宋体"/>
          <w:kern w:val="0"/>
          <w:szCs w:val="21"/>
          <w:highlight w:val="none"/>
          <w:lang w:val="zh-CN" w:bidi="zh-CN"/>
        </w:rPr>
        <w:t>中未被列为失信被执行人</w:t>
      </w:r>
      <w:bookmarkEnd w:id="499"/>
      <w:r>
        <w:rPr>
          <w:rFonts w:hint="eastAsia" w:ascii="宋体" w:hAnsi="宋体" w:cs="宋体"/>
          <w:kern w:val="0"/>
          <w:szCs w:val="21"/>
          <w:highlight w:val="none"/>
          <w:lang w:val="zh-CN" w:bidi="zh-CN"/>
        </w:rPr>
        <w:t>。</w:t>
      </w:r>
    </w:p>
    <w:p>
      <w:pPr>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val="zh-CN" w:bidi="zh-CN"/>
        </w:rPr>
        <w:t>上述</w:t>
      </w:r>
      <w:r>
        <w:rPr>
          <w:rFonts w:ascii="宋体" w:hAnsi="宋体" w:cs="宋体"/>
          <w:kern w:val="0"/>
          <w:szCs w:val="21"/>
          <w:highlight w:val="none"/>
          <w:lang w:val="zh-CN" w:bidi="zh-CN"/>
        </w:rPr>
        <w:t>内容，</w:t>
      </w:r>
      <w:r>
        <w:rPr>
          <w:rFonts w:hint="eastAsia" w:ascii="宋体" w:hAnsi="宋体" w:cs="宋体"/>
          <w:kern w:val="0"/>
          <w:szCs w:val="21"/>
          <w:highlight w:val="none"/>
          <w:lang w:val="zh-CN" w:bidi="zh-CN"/>
        </w:rPr>
        <w:t>如经招标人</w:t>
      </w:r>
      <w:r>
        <w:rPr>
          <w:rFonts w:ascii="宋体" w:hAnsi="宋体" w:cs="宋体"/>
          <w:kern w:val="0"/>
          <w:szCs w:val="21"/>
          <w:highlight w:val="none"/>
          <w:lang w:val="zh-CN" w:bidi="zh-CN"/>
        </w:rPr>
        <w:t>在投标截止日</w:t>
      </w:r>
      <w:r>
        <w:rPr>
          <w:rFonts w:hint="eastAsia" w:ascii="宋体" w:hAnsi="宋体" w:cs="宋体"/>
          <w:kern w:val="0"/>
          <w:szCs w:val="21"/>
          <w:highlight w:val="none"/>
          <w:lang w:val="zh-CN" w:bidi="zh-CN"/>
        </w:rPr>
        <w:t>核查其信息结果不符</w:t>
      </w:r>
      <w:r>
        <w:rPr>
          <w:rFonts w:ascii="宋体" w:hAnsi="宋体" w:cs="宋体"/>
          <w:kern w:val="0"/>
          <w:szCs w:val="21"/>
          <w:highlight w:val="none"/>
          <w:lang w:val="zh-CN" w:bidi="zh-CN"/>
        </w:rPr>
        <w:t>的</w:t>
      </w:r>
      <w:r>
        <w:rPr>
          <w:rFonts w:hint="eastAsia" w:ascii="宋体" w:hAnsi="宋体" w:cs="宋体"/>
          <w:kern w:val="0"/>
          <w:szCs w:val="21"/>
          <w:highlight w:val="none"/>
          <w:lang w:val="zh-CN" w:bidi="zh-CN"/>
        </w:rPr>
        <w:t>，</w:t>
      </w:r>
      <w:r>
        <w:rPr>
          <w:rFonts w:hint="eastAsia"/>
          <w:highlight w:val="none"/>
        </w:rPr>
        <w:t>使得我方的资格条件不符合招标文件规定的，评标委员会有权否决我方投标，同时招标人</w:t>
      </w:r>
      <w:r>
        <w:rPr>
          <w:highlight w:val="none"/>
        </w:rPr>
        <w:t>可按照</w:t>
      </w:r>
      <w:r>
        <w:rPr>
          <w:rFonts w:hint="eastAsia"/>
          <w:highlight w:val="none"/>
        </w:rPr>
        <w:t>谈判</w:t>
      </w:r>
      <w:r>
        <w:rPr>
          <w:highlight w:val="none"/>
        </w:rPr>
        <w:t>须知</w:t>
      </w:r>
      <w:r>
        <w:rPr>
          <w:rFonts w:hint="eastAsia"/>
          <w:highlight w:val="none"/>
        </w:rPr>
        <w:t>第15.3款</w:t>
      </w:r>
      <w:r>
        <w:rPr>
          <w:highlight w:val="none"/>
        </w:rPr>
        <w:t>规定</w:t>
      </w:r>
      <w:r>
        <w:rPr>
          <w:rFonts w:hint="eastAsia" w:ascii="宋体" w:hAnsi="宋体" w:cs="宋体"/>
          <w:szCs w:val="21"/>
          <w:highlight w:val="none"/>
        </w:rPr>
        <w:t>不予退还</w:t>
      </w:r>
      <w:r>
        <w:rPr>
          <w:rFonts w:ascii="宋体" w:hAnsi="宋体" w:cs="宋体"/>
          <w:szCs w:val="21"/>
          <w:highlight w:val="none"/>
        </w:rPr>
        <w:t>我</w:t>
      </w:r>
      <w:r>
        <w:rPr>
          <w:rFonts w:hint="eastAsia" w:ascii="宋体" w:hAnsi="宋体" w:cs="宋体"/>
          <w:szCs w:val="21"/>
          <w:highlight w:val="none"/>
        </w:rPr>
        <w:t>方</w:t>
      </w:r>
      <w:r>
        <w:rPr>
          <w:rFonts w:ascii="宋体" w:hAnsi="宋体" w:cs="宋体"/>
          <w:szCs w:val="21"/>
          <w:highlight w:val="none"/>
        </w:rPr>
        <w:t>的</w:t>
      </w:r>
      <w:r>
        <w:rPr>
          <w:rFonts w:hint="eastAsia" w:ascii="宋体" w:hAnsi="宋体" w:cs="宋体"/>
          <w:szCs w:val="21"/>
          <w:highlight w:val="none"/>
        </w:rPr>
        <w:t>投标保证金</w:t>
      </w:r>
      <w:r>
        <w:rPr>
          <w:highlight w:val="none"/>
        </w:rPr>
        <w:t>。</w:t>
      </w:r>
    </w:p>
    <w:p>
      <w:pPr>
        <w:spacing w:line="360" w:lineRule="auto"/>
        <w:ind w:firstLine="420" w:firstLineChars="200"/>
        <w:rPr>
          <w:rFonts w:ascii="宋体" w:hAnsi="宋体" w:cs="宋体"/>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）我单位</w:t>
      </w:r>
      <w:r>
        <w:rPr>
          <w:rFonts w:hint="eastAsia" w:ascii="宋体" w:hAnsi="宋体" w:cs="宋体"/>
          <w:szCs w:val="21"/>
          <w:highlight w:val="none"/>
          <w:u w:val="single"/>
        </w:rPr>
        <w:t xml:space="preserve">   （投标人名称）   （单位统一社会信用代码） </w:t>
      </w:r>
      <w:r>
        <w:rPr>
          <w:rFonts w:hint="eastAsia" w:ascii="宋体" w:hAnsi="宋体" w:cs="宋体"/>
          <w:szCs w:val="21"/>
          <w:highlight w:val="none"/>
        </w:rPr>
        <w:t>、法定代表人</w:t>
      </w:r>
      <w:r>
        <w:rPr>
          <w:rFonts w:hint="eastAsia" w:ascii="宋体" w:hAnsi="宋体" w:cs="宋体"/>
          <w:szCs w:val="21"/>
          <w:highlight w:val="none"/>
          <w:u w:val="single"/>
        </w:rPr>
        <w:t xml:space="preserve">  （姓名）   （身份证号）在201</w:t>
      </w:r>
      <w:r>
        <w:rPr>
          <w:rFonts w:ascii="宋体" w:hAnsi="宋体" w:cs="宋体"/>
          <w:szCs w:val="21"/>
          <w:highlight w:val="none"/>
          <w:u w:val="single"/>
        </w:rPr>
        <w:t>8</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1</w:t>
      </w:r>
      <w:r>
        <w:rPr>
          <w:rFonts w:hint="eastAsia" w:ascii="宋体" w:hAnsi="宋体" w:cs="宋体"/>
          <w:szCs w:val="21"/>
          <w:highlight w:val="none"/>
        </w:rPr>
        <w:t>月</w:t>
      </w:r>
      <w:r>
        <w:rPr>
          <w:rFonts w:hint="eastAsia" w:ascii="宋体" w:hAnsi="宋体" w:cs="宋体"/>
          <w:szCs w:val="21"/>
          <w:highlight w:val="none"/>
          <w:u w:val="single"/>
        </w:rPr>
        <w:t>1</w:t>
      </w:r>
      <w:r>
        <w:rPr>
          <w:rFonts w:hint="eastAsia" w:ascii="宋体" w:hAnsi="宋体" w:cs="宋体"/>
          <w:szCs w:val="21"/>
          <w:highlight w:val="none"/>
        </w:rPr>
        <w:t>日至本项目投标截止日期间，没有被人民法院生效判决或裁定认定行贿犯罪（包括行贿罪、单位行贿罪、对单位行贿罪、介绍贿赂罪等）。若在中标合同签订之前发现我单位或法定代表人在上述期间存在行犯贿罪的，</w:t>
      </w:r>
      <w:r>
        <w:rPr>
          <w:rFonts w:hint="eastAsia" w:ascii="宋体" w:hAnsi="宋体" w:cs="宋体"/>
          <w:highlight w:val="none"/>
        </w:rPr>
        <w:t>可取消我单位中标候选人或中标人资格。若在合同执行期间</w:t>
      </w:r>
      <w:r>
        <w:rPr>
          <w:rFonts w:hint="eastAsia" w:ascii="宋体" w:hAnsi="宋体" w:cs="宋体"/>
          <w:szCs w:val="21"/>
          <w:highlight w:val="none"/>
        </w:rPr>
        <w:t>发现我单位或法定代表人在上述期间存在行贿犯罪</w:t>
      </w:r>
      <w:r>
        <w:rPr>
          <w:rFonts w:hint="eastAsia" w:ascii="宋体" w:hAnsi="宋体" w:cs="宋体"/>
          <w:highlight w:val="none"/>
        </w:rPr>
        <w:t>的，可从合同款或履约保证金中扣除签约合同价的</w:t>
      </w:r>
      <w:r>
        <w:rPr>
          <w:rFonts w:hint="eastAsia" w:ascii="宋体" w:hAnsi="宋体" w:cs="宋体"/>
          <w:highlight w:val="none"/>
          <w:u w:val="single"/>
        </w:rPr>
        <w:t>5%</w:t>
      </w:r>
      <w:r>
        <w:rPr>
          <w:rFonts w:hint="eastAsia" w:ascii="宋体" w:hAnsi="宋体" w:cs="宋体"/>
          <w:highlight w:val="none"/>
        </w:rPr>
        <w:t>作为违约金。</w:t>
      </w:r>
    </w:p>
    <w:p>
      <w:pPr>
        <w:spacing w:line="460" w:lineRule="exact"/>
        <w:rPr>
          <w:rFonts w:ascii="宋体" w:hAnsi="宋体" w:cs="宋体"/>
          <w:szCs w:val="21"/>
          <w:highlight w:val="none"/>
        </w:rPr>
      </w:pPr>
    </w:p>
    <w:p>
      <w:pPr>
        <w:spacing w:line="460" w:lineRule="exact"/>
        <w:rPr>
          <w:rFonts w:ascii="宋体" w:hAnsi="宋体" w:cs="宋体"/>
          <w:szCs w:val="21"/>
          <w:highlight w:val="none"/>
        </w:rPr>
      </w:pPr>
    </w:p>
    <w:p>
      <w:pPr>
        <w:spacing w:line="460" w:lineRule="exact"/>
        <w:ind w:firstLine="2940" w:firstLineChars="1400"/>
        <w:rPr>
          <w:rFonts w:ascii="宋体" w:hAnsi="宋体" w:cs="宋体"/>
          <w:szCs w:val="21"/>
          <w:highlight w:val="none"/>
        </w:rPr>
      </w:pPr>
      <w:r>
        <w:rPr>
          <w:rFonts w:hint="eastAsia" w:ascii="宋体" w:hAnsi="宋体" w:cs="宋体"/>
          <w:szCs w:val="21"/>
          <w:highlight w:val="none"/>
        </w:rPr>
        <w:t xml:space="preserve"> 投标人：</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rPr>
        <w:t>（盖单位章）</w:t>
      </w:r>
    </w:p>
    <w:p>
      <w:pPr>
        <w:spacing w:line="460" w:lineRule="exact"/>
        <w:ind w:firstLine="3045" w:firstLineChars="1450"/>
        <w:rPr>
          <w:rFonts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w:t>
      </w:r>
    </w:p>
    <w:p>
      <w:pPr>
        <w:spacing w:line="460" w:lineRule="exact"/>
        <w:rPr>
          <w:rFonts w:ascii="宋体" w:hAnsi="宋体" w:cs="宋体"/>
          <w:szCs w:val="21"/>
          <w:highlight w:val="none"/>
        </w:rPr>
      </w:pPr>
      <w:r>
        <w:rPr>
          <w:rFonts w:hint="eastAsia" w:ascii="宋体" w:hAnsi="宋体" w:cs="宋体"/>
          <w:szCs w:val="21"/>
          <w:highlight w:val="none"/>
        </w:rPr>
        <w:t xml:space="preserve">                             日 期：   </w:t>
      </w:r>
      <w:r>
        <w:rPr>
          <w:rFonts w:ascii="宋体" w:hAnsi="宋体" w:cs="宋体"/>
          <w:szCs w:val="21"/>
          <w:highlight w:val="none"/>
        </w:rPr>
        <w:t xml:space="preserve">  </w:t>
      </w:r>
      <w:r>
        <w:rPr>
          <w:rFonts w:hint="eastAsia" w:ascii="宋体" w:hAnsi="宋体" w:cs="宋体"/>
          <w:szCs w:val="21"/>
          <w:highlight w:val="none"/>
        </w:rPr>
        <w:t xml:space="preserve"> 年   月   日</w:t>
      </w:r>
    </w:p>
    <w:p>
      <w:pPr>
        <w:spacing w:line="440" w:lineRule="exact"/>
        <w:jc w:val="center"/>
        <w:rPr>
          <w:rFonts w:ascii="宋体" w:hAnsi="宋体" w:cs="宋体"/>
          <w:b/>
          <w:sz w:val="32"/>
          <w:szCs w:val="21"/>
          <w:highlight w:val="none"/>
        </w:rPr>
      </w:pPr>
      <w:r>
        <w:rPr>
          <w:rFonts w:ascii="宋体" w:hAnsi="宋体" w:cs="宋体"/>
          <w:b/>
          <w:sz w:val="32"/>
          <w:szCs w:val="21"/>
          <w:highlight w:val="none"/>
        </w:rPr>
        <w:br w:type="page"/>
      </w:r>
    </w:p>
    <w:p>
      <w:pPr>
        <w:spacing w:line="440" w:lineRule="exact"/>
        <w:jc w:val="center"/>
        <w:rPr>
          <w:rFonts w:ascii="宋体" w:hAnsi="宋体" w:cs="宋体"/>
          <w:b/>
          <w:sz w:val="32"/>
          <w:szCs w:val="21"/>
          <w:highlight w:val="none"/>
        </w:rPr>
      </w:pPr>
      <w:r>
        <w:rPr>
          <w:rFonts w:hint="eastAsia" w:ascii="宋体" w:hAnsi="宋体" w:cs="宋体"/>
          <w:b/>
          <w:sz w:val="32"/>
          <w:szCs w:val="21"/>
          <w:highlight w:val="none"/>
        </w:rPr>
        <w:t>五、已标价报价清单（含报价清单说明）</w:t>
      </w:r>
    </w:p>
    <w:p>
      <w:pPr>
        <w:spacing w:line="440" w:lineRule="exact"/>
        <w:jc w:val="center"/>
        <w:rPr>
          <w:rFonts w:ascii="宋体" w:hAnsi="宋体" w:cs="宋体"/>
          <w:b/>
          <w:sz w:val="32"/>
          <w:szCs w:val="21"/>
          <w:highlight w:val="none"/>
        </w:rPr>
      </w:pP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已标价报价清单的填写方式：投标人按照招标人“第六章投标文件格式”提供的报价清单格式填写。结算单价为含税单价（按照现有法律规定的增值税率计算的含税单价，若后期国家相关政策调整增值税率的，按照新的税率调整结算）。</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）投标人报价应充分考虑采购人支付</w:t>
      </w:r>
      <w:r>
        <w:rPr>
          <w:rFonts w:ascii="宋体" w:hAnsi="宋体"/>
          <w:szCs w:val="21"/>
          <w:highlight w:val="none"/>
        </w:rPr>
        <w:t>方式对</w:t>
      </w:r>
      <w:r>
        <w:rPr>
          <w:rFonts w:hint="eastAsia" w:ascii="宋体" w:hAnsi="宋体"/>
          <w:szCs w:val="21"/>
          <w:highlight w:val="none"/>
        </w:rPr>
        <w:t>投标总报价的影响</w:t>
      </w:r>
      <w:r>
        <w:rPr>
          <w:rFonts w:ascii="宋体" w:hAnsi="宋体"/>
          <w:szCs w:val="21"/>
          <w:highlight w:val="none"/>
        </w:rPr>
        <w:t>，招标人不</w:t>
      </w:r>
      <w:r>
        <w:rPr>
          <w:rFonts w:hint="eastAsia" w:ascii="宋体" w:hAnsi="宋体"/>
          <w:szCs w:val="21"/>
          <w:highlight w:val="none"/>
        </w:rPr>
        <w:t>再</w:t>
      </w:r>
      <w:r>
        <w:rPr>
          <w:rFonts w:ascii="宋体" w:hAnsi="宋体"/>
          <w:szCs w:val="21"/>
          <w:highlight w:val="none"/>
        </w:rPr>
        <w:t>因此原因接受投标</w:t>
      </w:r>
      <w:r>
        <w:rPr>
          <w:rFonts w:hint="eastAsia" w:ascii="宋体" w:hAnsi="宋体"/>
          <w:szCs w:val="21"/>
          <w:highlight w:val="none"/>
        </w:rPr>
        <w:t>人的相关</w:t>
      </w:r>
      <w:r>
        <w:rPr>
          <w:rFonts w:ascii="宋体" w:hAnsi="宋体"/>
          <w:szCs w:val="21"/>
          <w:highlight w:val="none"/>
        </w:rPr>
        <w:t>要求。</w:t>
      </w:r>
      <w:r>
        <w:rPr>
          <w:rFonts w:hint="eastAsia" w:ascii="宋体" w:hAnsi="宋体"/>
          <w:szCs w:val="21"/>
          <w:highlight w:val="none"/>
        </w:rPr>
        <w:t>具体支付方式见合同条款。</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（3）投标人报价时应考虑合同明示或暗示的所有责任、义务和一般风险，并将这部分费用包含在投标报价的综合单价中。</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投标人应负责办理为执行本招标文件规定义务而投入的机具设备和运输工具的财产保险、人身保险、第三者责任险、货物运输险、货物险、包装物的保险及其他相关险种，保险费由投标人承担并支付，并包含在报价清单各货物的综合单价之中，采购人将不再单独支付。</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）根据国家相关规定，凡要求投标人办理的一切手续(包括投标和中标后供货的各种手续)均由投标人自行调查并办理，并承担一切费用。</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6</w:t>
      </w:r>
      <w:r>
        <w:rPr>
          <w:rFonts w:hint="eastAsia" w:ascii="宋体" w:hAnsi="宋体"/>
          <w:szCs w:val="21"/>
          <w:highlight w:val="none"/>
        </w:rPr>
        <w:t>）招标人在报价清单中所提供的各种货物的运输数量是估算数量，仅作为投标报价的共同基础，不作为最终结算与支付的依据。在合同实施期间，货物的实际</w:t>
      </w:r>
      <w:r>
        <w:rPr>
          <w:rFonts w:ascii="宋体" w:hAnsi="宋体"/>
          <w:szCs w:val="21"/>
          <w:highlight w:val="none"/>
        </w:rPr>
        <w:t>运输</w:t>
      </w:r>
      <w:r>
        <w:rPr>
          <w:rFonts w:hint="eastAsia" w:ascii="宋体" w:hAnsi="宋体"/>
          <w:szCs w:val="21"/>
          <w:highlight w:val="none"/>
        </w:rPr>
        <w:t>数量可根据合同条款规定增减。投标人不得以货物运输数量有变化为理由对货物的运输综合单价进行变更。</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7</w:t>
      </w:r>
      <w:r>
        <w:rPr>
          <w:rFonts w:hint="eastAsia" w:ascii="宋体" w:hAnsi="宋体"/>
          <w:szCs w:val="21"/>
          <w:highlight w:val="none"/>
        </w:rPr>
        <w:t>）投标人船车、</w:t>
      </w:r>
      <w:r>
        <w:rPr>
          <w:rFonts w:ascii="宋体" w:hAnsi="宋体"/>
          <w:szCs w:val="21"/>
          <w:highlight w:val="none"/>
        </w:rPr>
        <w:t>船船</w:t>
      </w:r>
      <w:r>
        <w:rPr>
          <w:rFonts w:hint="eastAsia" w:ascii="宋体" w:hAnsi="宋体"/>
          <w:szCs w:val="21"/>
          <w:highlight w:val="none"/>
        </w:rPr>
        <w:t xml:space="preserve">衔接过程中，要加强协调与督促，并对相关环节的合作公司进行严格有效的管理，把货损、货差状况控制在最低限度。同时应自行考虑中转储运等环节对供货期的影响，确保总工期不致延误以保证合同的顺利实施。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8</w:t>
      </w:r>
      <w:r>
        <w:rPr>
          <w:rFonts w:hint="eastAsia" w:ascii="宋体" w:hAnsi="宋体"/>
          <w:szCs w:val="21"/>
          <w:highlight w:val="none"/>
        </w:rPr>
        <w:t>）本次材料运输的投标报价为从接受材料到运至本指定港口码头的所有费用，应包括：</w:t>
      </w:r>
      <w:r>
        <w:rPr>
          <w:rFonts w:cs="仿宋" w:asciiTheme="minorEastAsia" w:hAnsiTheme="minorEastAsia" w:eastAsiaTheme="minorEastAsia"/>
          <w:szCs w:val="21"/>
          <w:highlight w:val="none"/>
        </w:rPr>
        <w:t>人工费、淡水、燃滑油料、港口建设费、船舶签证费、稳性计算、绑扎方案及9%税票费用，运杂费、装卸费（如有，不含运输起点及运输终点）、提升费（如有）、翻坝转运（如有）、保险费、货物险、管理费、票据贴息费、利润及其他费用等一切费用，即到达甲方指定地点的含税的综合单价。货物险</w:t>
      </w:r>
      <w:r>
        <w:rPr>
          <w:rFonts w:cs="仿宋" w:asciiTheme="minorEastAsia" w:hAnsiTheme="minorEastAsia" w:eastAsiaTheme="minorEastAsia"/>
          <w:b/>
          <w:szCs w:val="21"/>
          <w:highlight w:val="none"/>
        </w:rPr>
        <w:t>费用由承运商承担，采购人不承担，受益人为采购人。</w:t>
      </w:r>
      <w:r>
        <w:rPr>
          <w:rFonts w:hint="eastAsia" w:ascii="宋体" w:hAnsi="宋体"/>
          <w:szCs w:val="21"/>
          <w:highlight w:val="none"/>
        </w:rPr>
        <w:t>以及合同明示或暗示的投标人的所有责任、义务和一般风险的费用。投标人在投标前应自行踏勘交通通行状况、运距，充分考虑金沙江</w:t>
      </w:r>
      <w:r>
        <w:rPr>
          <w:rFonts w:ascii="宋体" w:hAnsi="宋体"/>
          <w:szCs w:val="21"/>
          <w:highlight w:val="none"/>
        </w:rPr>
        <w:t>水运经过阶梯电站翻坝等</w:t>
      </w:r>
      <w:r>
        <w:rPr>
          <w:rFonts w:hint="eastAsia" w:ascii="宋体" w:hAnsi="宋体"/>
          <w:szCs w:val="21"/>
          <w:highlight w:val="none"/>
        </w:rPr>
        <w:t>情况下的运输路线及运输成本，因其他非招标人责任导致的转运增加的运输费用由投标人承担，包括但不限于交通堵塞、临时交通管制、航道维修、自然灾害导致的航运阻断、人为设置路障等，投标人应在报价时合理考虑。投标人应为自己可能所需要的相关费用，承担全部费用和开支，包括与政府相关部门的沟通协调以及所需的费用。</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9</w:t>
      </w:r>
      <w:r>
        <w:rPr>
          <w:rFonts w:hint="eastAsia" w:ascii="宋体" w:hAnsi="宋体"/>
          <w:szCs w:val="21"/>
          <w:highlight w:val="none"/>
        </w:rPr>
        <w:t>）本项目采购人</w:t>
      </w:r>
      <w:r>
        <w:rPr>
          <w:rFonts w:ascii="宋体" w:hAnsi="宋体"/>
          <w:szCs w:val="21"/>
          <w:highlight w:val="none"/>
        </w:rPr>
        <w:t>采购的材料</w:t>
      </w:r>
      <w:r>
        <w:rPr>
          <w:rFonts w:hint="eastAsia" w:ascii="宋体" w:hAnsi="宋体"/>
          <w:szCs w:val="21"/>
          <w:highlight w:val="none"/>
        </w:rPr>
        <w:t>从招标人</w:t>
      </w:r>
      <w:r>
        <w:rPr>
          <w:rFonts w:ascii="宋体" w:hAnsi="宋体"/>
          <w:szCs w:val="21"/>
          <w:highlight w:val="none"/>
        </w:rPr>
        <w:t>指定的材料供应商处（</w:t>
      </w:r>
      <w:r>
        <w:rPr>
          <w:rFonts w:hint="eastAsia" w:ascii="宋体" w:hAnsi="宋体"/>
          <w:szCs w:val="21"/>
          <w:highlight w:val="none"/>
        </w:rPr>
        <w:t>运输起点</w:t>
      </w:r>
      <w:r>
        <w:rPr>
          <w:rFonts w:ascii="宋体" w:hAnsi="宋体"/>
          <w:szCs w:val="21"/>
          <w:highlight w:val="none"/>
        </w:rPr>
        <w:t>）</w:t>
      </w:r>
      <w:r>
        <w:rPr>
          <w:rFonts w:hint="eastAsia" w:ascii="宋体" w:hAnsi="宋体"/>
          <w:szCs w:val="21"/>
          <w:highlight w:val="none"/>
        </w:rPr>
        <w:t>经</w:t>
      </w:r>
      <w:r>
        <w:rPr>
          <w:rFonts w:ascii="宋体" w:hAnsi="宋体"/>
          <w:szCs w:val="21"/>
          <w:highlight w:val="none"/>
        </w:rPr>
        <w:t>由承运商</w:t>
      </w:r>
      <w:r>
        <w:rPr>
          <w:rFonts w:hint="eastAsia" w:ascii="宋体" w:hAnsi="宋体"/>
          <w:szCs w:val="21"/>
          <w:highlight w:val="none"/>
        </w:rPr>
        <w:t>运输至指定的中转港（运输结束地点）后由采购人组织收货人人员接收，对每批材料进行清点、签收、卸货（具体各环节装卸货责任人</w:t>
      </w:r>
      <w:r>
        <w:rPr>
          <w:rFonts w:ascii="宋体" w:hAnsi="宋体"/>
          <w:szCs w:val="21"/>
          <w:highlight w:val="none"/>
        </w:rPr>
        <w:t>见</w:t>
      </w:r>
      <w:r>
        <w:rPr>
          <w:rFonts w:hint="eastAsia" w:ascii="宋体" w:hAnsi="宋体"/>
          <w:szCs w:val="21"/>
          <w:highlight w:val="none"/>
        </w:rPr>
        <w:t>谈判</w:t>
      </w:r>
      <w:r>
        <w:rPr>
          <w:rFonts w:ascii="宋体" w:hAnsi="宋体"/>
          <w:szCs w:val="21"/>
          <w:highlight w:val="none"/>
        </w:rPr>
        <w:t>公告</w:t>
      </w:r>
      <w:r>
        <w:rPr>
          <w:rFonts w:hint="eastAsia" w:ascii="宋体" w:hAnsi="宋体"/>
          <w:szCs w:val="21"/>
          <w:highlight w:val="none"/>
        </w:rPr>
        <w:t>）及保存，并承担相关费用。本项目运输</w:t>
      </w:r>
      <w:r>
        <w:rPr>
          <w:rFonts w:ascii="宋体" w:hAnsi="宋体"/>
          <w:szCs w:val="21"/>
          <w:highlight w:val="none"/>
        </w:rPr>
        <w:t>材料</w:t>
      </w:r>
      <w:r>
        <w:rPr>
          <w:rFonts w:hint="eastAsia" w:ascii="宋体" w:hAnsi="宋体"/>
          <w:szCs w:val="21"/>
          <w:highlight w:val="none"/>
        </w:rPr>
        <w:t>送达的货物接收点以采购人指定的地点为准，招标文件中提供的数量在实施中可能会调整，由于交货数量发生调整对运输单价的影响已经包含在投标单价中，不作为变更的理由。承运商应考虑若发生材料中转存储和供应问题，因中转存储发生的费用包含在投标综合单价中。</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10</w:t>
      </w:r>
      <w:r>
        <w:rPr>
          <w:rFonts w:hint="eastAsia" w:ascii="宋体" w:hAnsi="宋体"/>
          <w:szCs w:val="21"/>
          <w:highlight w:val="none"/>
        </w:rPr>
        <w:t>）本材料报价清单应与谈判须知、合同条款等文件结合起来阅读和理解。</w:t>
      </w:r>
    </w:p>
    <w:p>
      <w:pPr>
        <w:adjustRightInd w:val="0"/>
        <w:snapToGrid w:val="0"/>
        <w:spacing w:line="360" w:lineRule="auto"/>
        <w:ind w:left="105" w:leftChars="50" w:firstLine="315" w:firstLineChars="150"/>
        <w:rPr>
          <w:rFonts w:ascii="宋体" w:hAnsi="宋体" w:cs="宋体"/>
          <w:b/>
          <w:szCs w:val="21"/>
          <w:highlight w:val="none"/>
        </w:rPr>
      </w:pPr>
      <w:r>
        <w:rPr>
          <w:rFonts w:hint="eastAsia" w:hAnsi="宋体" w:cs="宋体"/>
          <w:highlight w:val="none"/>
        </w:rPr>
        <w:t>（1</w:t>
      </w:r>
      <w:r>
        <w:rPr>
          <w:rFonts w:hAnsi="宋体" w:cs="宋体"/>
          <w:highlight w:val="none"/>
        </w:rPr>
        <w:t>1</w:t>
      </w:r>
      <w:r>
        <w:rPr>
          <w:rFonts w:hint="eastAsia" w:hAnsi="宋体" w:cs="宋体"/>
          <w:highlight w:val="none"/>
        </w:rPr>
        <w:t>）</w:t>
      </w:r>
      <w:r>
        <w:rPr>
          <w:rFonts w:hint="eastAsia" w:ascii="宋体" w:hAnsi="宋体" w:cs="宋体"/>
          <w:b/>
          <w:szCs w:val="21"/>
          <w:highlight w:val="none"/>
        </w:rPr>
        <w:t>计量方法</w:t>
      </w:r>
    </w:p>
    <w:p>
      <w:pPr>
        <w:adjustRightInd w:val="0"/>
        <w:snapToGrid w:val="0"/>
        <w:spacing w:line="360" w:lineRule="auto"/>
        <w:ind w:left="105" w:leftChars="50" w:firstLine="420" w:firstLineChars="200"/>
        <w:rPr>
          <w:rFonts w:ascii="宋体" w:hAnsi="宋体" w:cs="宋体"/>
          <w:szCs w:val="21"/>
          <w:highlight w:val="none"/>
        </w:rPr>
      </w:pPr>
      <w:r>
        <w:rPr>
          <w:rFonts w:ascii="宋体" w:hAnsi="宋体" w:cs="宋体"/>
          <w:szCs w:val="21"/>
          <w:highlight w:val="none"/>
        </w:rPr>
        <w:fldChar w:fldCharType="begin"/>
      </w:r>
      <w:r>
        <w:rPr>
          <w:rFonts w:hint="eastAsia" w:ascii="宋体" w:hAnsi="宋体" w:cs="宋体"/>
          <w:szCs w:val="21"/>
          <w:highlight w:val="none"/>
        </w:rPr>
        <w:instrText xml:space="preserve">= 1 \* GB3</w:instrText>
      </w:r>
      <w:r>
        <w:rPr>
          <w:rFonts w:ascii="宋体" w:hAnsi="宋体" w:cs="宋体"/>
          <w:szCs w:val="21"/>
          <w:highlight w:val="none"/>
        </w:rPr>
        <w:fldChar w:fldCharType="separate"/>
      </w:r>
      <w:r>
        <w:rPr>
          <w:rFonts w:hint="eastAsia" w:ascii="宋体" w:hAnsi="宋体" w:cs="宋体"/>
          <w:szCs w:val="21"/>
          <w:highlight w:val="none"/>
        </w:rPr>
        <w:t>①</w:t>
      </w:r>
      <w:r>
        <w:rPr>
          <w:rFonts w:ascii="宋体" w:hAnsi="宋体" w:cs="宋体"/>
          <w:szCs w:val="21"/>
          <w:highlight w:val="none"/>
        </w:rPr>
        <w:fldChar w:fldCharType="end"/>
      </w:r>
      <w:r>
        <w:rPr>
          <w:rFonts w:hint="eastAsia" w:ascii="宋体" w:hAnsi="宋体" w:cs="宋体"/>
          <w:szCs w:val="21"/>
          <w:highlight w:val="none"/>
        </w:rPr>
        <w:t>报价清单中每一个有数量的细目都需填入单价（含税）；对于没有填入单价的细目，其费用应视为已包括在报价清单的其他单价中，承运商必须按采购人指令完成报价清单中未填入单价的工程细目，但不能得到结算与支付。</w:t>
      </w:r>
    </w:p>
    <w:p>
      <w:pPr>
        <w:adjustRightInd w:val="0"/>
        <w:snapToGrid w:val="0"/>
        <w:spacing w:line="360" w:lineRule="auto"/>
        <w:ind w:left="105" w:leftChars="50" w:firstLine="420" w:firstLineChars="200"/>
        <w:rPr>
          <w:rFonts w:ascii="宋体" w:hAnsi="宋体" w:cs="宋体"/>
          <w:szCs w:val="21"/>
          <w:highlight w:val="none"/>
        </w:rPr>
      </w:pPr>
      <w:r>
        <w:rPr>
          <w:rFonts w:ascii="宋体" w:hAnsi="宋体" w:cs="宋体"/>
          <w:szCs w:val="21"/>
          <w:highlight w:val="none"/>
        </w:rPr>
        <w:fldChar w:fldCharType="begin"/>
      </w:r>
      <w:r>
        <w:rPr>
          <w:rFonts w:hint="eastAsia" w:ascii="宋体" w:hAnsi="宋体" w:cs="宋体"/>
          <w:szCs w:val="21"/>
          <w:highlight w:val="none"/>
        </w:rPr>
        <w:instrText xml:space="preserve">= 2 \* GB3</w:instrText>
      </w:r>
      <w:r>
        <w:rPr>
          <w:rFonts w:ascii="宋体" w:hAnsi="宋体" w:cs="宋体"/>
          <w:szCs w:val="21"/>
          <w:highlight w:val="none"/>
        </w:rPr>
        <w:fldChar w:fldCharType="separate"/>
      </w:r>
      <w:r>
        <w:rPr>
          <w:rFonts w:hint="eastAsia" w:ascii="宋体" w:hAnsi="宋体" w:cs="宋体"/>
          <w:szCs w:val="21"/>
          <w:highlight w:val="none"/>
        </w:rPr>
        <w:t>②</w:t>
      </w:r>
      <w:r>
        <w:rPr>
          <w:rFonts w:ascii="宋体" w:hAnsi="宋体" w:cs="宋体"/>
          <w:szCs w:val="21"/>
          <w:highlight w:val="none"/>
        </w:rPr>
        <w:fldChar w:fldCharType="end"/>
      </w:r>
      <w:r>
        <w:rPr>
          <w:rFonts w:hint="eastAsia" w:hAnsi="宋体" w:cs="宋体"/>
          <w:highlight w:val="none"/>
        </w:rPr>
        <w:t>运抵工程指定工地的每批材料将由收货人</w:t>
      </w:r>
      <w:r>
        <w:rPr>
          <w:rFonts w:hAnsi="宋体" w:cs="宋体"/>
          <w:highlight w:val="none"/>
        </w:rPr>
        <w:t>及</w:t>
      </w:r>
      <w:r>
        <w:rPr>
          <w:rFonts w:hint="eastAsia" w:hAnsi="宋体" w:cs="宋体"/>
          <w:highlight w:val="none"/>
        </w:rPr>
        <w:t>采购人在现场对数量和包装</w:t>
      </w:r>
      <w:r>
        <w:rPr>
          <w:rFonts w:hAnsi="宋体" w:cs="宋体"/>
          <w:highlight w:val="none"/>
        </w:rPr>
        <w:t>进行初步验收，</w:t>
      </w:r>
      <w:r>
        <w:rPr>
          <w:rFonts w:hint="eastAsia" w:hAnsi="宋体" w:cs="宋体"/>
          <w:szCs w:val="21"/>
          <w:highlight w:val="none"/>
        </w:rPr>
        <w:t>数量以收货人现场过磅确认的数量为准，核对后甲乙双方人员在收货单上共同签字确认，收货单一式两联，甲乙双方各持一联，作为收货数量的结算依据</w:t>
      </w:r>
      <w:r>
        <w:rPr>
          <w:rFonts w:hint="eastAsia" w:ascii="宋体" w:hAnsi="宋体" w:cs="宋体"/>
          <w:szCs w:val="21"/>
          <w:highlight w:val="none"/>
        </w:rPr>
        <w:t>。</w:t>
      </w:r>
    </w:p>
    <w:p>
      <w:pPr>
        <w:adjustRightInd w:val="0"/>
        <w:snapToGrid w:val="0"/>
        <w:spacing w:line="360" w:lineRule="auto"/>
        <w:ind w:firstLine="525" w:firstLineChars="250"/>
        <w:rPr>
          <w:rFonts w:ascii="宋体" w:hAnsi="宋体" w:cs="宋体"/>
          <w:kern w:val="0"/>
          <w:szCs w:val="21"/>
          <w:highlight w:val="none"/>
        </w:rPr>
      </w:pPr>
      <w:r>
        <w:rPr>
          <w:rFonts w:ascii="宋体" w:hAnsi="宋体" w:cs="宋体"/>
          <w:kern w:val="0"/>
          <w:szCs w:val="21"/>
          <w:highlight w:val="none"/>
        </w:rPr>
        <w:fldChar w:fldCharType="begin"/>
      </w:r>
      <w:r>
        <w:rPr>
          <w:rFonts w:ascii="宋体" w:hAnsi="宋体" w:cs="宋体"/>
          <w:kern w:val="0"/>
          <w:szCs w:val="21"/>
          <w:highlight w:val="none"/>
        </w:rPr>
        <w:instrText xml:space="preserve"> = 3 \* GB3 </w:instrText>
      </w:r>
      <w:r>
        <w:rPr>
          <w:rFonts w:ascii="宋体" w:hAnsi="宋体" w:cs="宋体"/>
          <w:kern w:val="0"/>
          <w:szCs w:val="21"/>
          <w:highlight w:val="none"/>
        </w:rPr>
        <w:fldChar w:fldCharType="separate"/>
      </w:r>
      <w:r>
        <w:rPr>
          <w:rFonts w:hint="eastAsia" w:ascii="宋体" w:hAnsi="宋体" w:cs="宋体"/>
          <w:kern w:val="0"/>
          <w:szCs w:val="21"/>
          <w:highlight w:val="none"/>
        </w:rPr>
        <w:t>③</w:t>
      </w:r>
      <w:r>
        <w:rPr>
          <w:rFonts w:ascii="宋体" w:hAnsi="宋体" w:cs="宋体"/>
          <w:kern w:val="0"/>
          <w:szCs w:val="21"/>
          <w:highlight w:val="none"/>
        </w:rPr>
        <w:fldChar w:fldCharType="end"/>
      </w:r>
      <w:r>
        <w:rPr>
          <w:rFonts w:hint="eastAsia" w:ascii="宋体" w:hAnsi="宋体" w:cs="宋体"/>
          <w:kern w:val="0"/>
          <w:szCs w:val="21"/>
          <w:highlight w:val="none"/>
        </w:rPr>
        <w:t>报价清单中各项金额均以人民币（元）结算，且金额均保留到个位数。</w:t>
      </w:r>
    </w:p>
    <w:p>
      <w:pPr>
        <w:adjustRightInd w:val="0"/>
        <w:snapToGrid w:val="0"/>
        <w:spacing w:line="360" w:lineRule="auto"/>
        <w:ind w:left="105" w:leftChars="50" w:firstLine="420" w:firstLineChars="200"/>
        <w:rPr>
          <w:rFonts w:ascii="宋体" w:hAnsi="宋体" w:cs="宋体"/>
          <w:szCs w:val="21"/>
          <w:highlight w:val="none"/>
        </w:rPr>
      </w:pPr>
      <w:r>
        <w:rPr>
          <w:rFonts w:hAnsi="宋体" w:cs="宋体"/>
          <w:szCs w:val="21"/>
          <w:highlight w:val="none"/>
        </w:rPr>
        <w:fldChar w:fldCharType="begin"/>
      </w:r>
      <w:r>
        <w:rPr>
          <w:rFonts w:hAnsi="宋体" w:cs="宋体"/>
          <w:szCs w:val="21"/>
          <w:highlight w:val="none"/>
        </w:rPr>
        <w:instrText xml:space="preserve"> = 4 \* GB3 </w:instrText>
      </w:r>
      <w:r>
        <w:rPr>
          <w:rFonts w:hAnsi="宋体" w:cs="宋体"/>
          <w:szCs w:val="21"/>
          <w:highlight w:val="none"/>
        </w:rPr>
        <w:fldChar w:fldCharType="separate"/>
      </w:r>
      <w:r>
        <w:rPr>
          <w:rFonts w:hint="eastAsia" w:hAnsi="宋体" w:cs="宋体"/>
          <w:szCs w:val="21"/>
          <w:highlight w:val="none"/>
        </w:rPr>
        <w:t>④</w:t>
      </w:r>
      <w:r>
        <w:rPr>
          <w:rFonts w:hAnsi="宋体" w:cs="宋体"/>
          <w:szCs w:val="21"/>
          <w:highlight w:val="none"/>
        </w:rPr>
        <w:fldChar w:fldCharType="end"/>
      </w:r>
      <w:r>
        <w:rPr>
          <w:rFonts w:hint="eastAsia" w:hAnsi="宋体" w:cs="宋体"/>
          <w:szCs w:val="21"/>
          <w:highlight w:val="none"/>
        </w:rPr>
        <w:t>报价时增值税暂按现行</w:t>
      </w:r>
      <w:r>
        <w:rPr>
          <w:rFonts w:hAnsi="宋体" w:cs="宋体"/>
          <w:szCs w:val="21"/>
          <w:highlight w:val="none"/>
        </w:rPr>
        <w:t>税率计列，若后期国家相关政策调整增值</w:t>
      </w:r>
      <w:r>
        <w:rPr>
          <w:rFonts w:hint="eastAsia" w:hAnsi="宋体" w:cs="宋体"/>
          <w:szCs w:val="21"/>
          <w:highlight w:val="none"/>
        </w:rPr>
        <w:t>税率</w:t>
      </w:r>
      <w:r>
        <w:rPr>
          <w:rFonts w:hAnsi="宋体" w:cs="宋体"/>
          <w:szCs w:val="21"/>
          <w:highlight w:val="none"/>
        </w:rPr>
        <w:t>的</w:t>
      </w:r>
      <w:r>
        <w:rPr>
          <w:rFonts w:hint="eastAsia" w:hAnsi="宋体" w:cs="宋体"/>
          <w:szCs w:val="21"/>
          <w:highlight w:val="none"/>
        </w:rPr>
        <w:t>，</w:t>
      </w:r>
      <w:r>
        <w:rPr>
          <w:rFonts w:hAnsi="宋体" w:cs="宋体"/>
          <w:szCs w:val="21"/>
          <w:highlight w:val="none"/>
        </w:rPr>
        <w:t>按照新的</w:t>
      </w:r>
      <w:r>
        <w:rPr>
          <w:rFonts w:hint="eastAsia" w:hAnsi="宋体" w:cs="宋体"/>
          <w:szCs w:val="21"/>
          <w:highlight w:val="none"/>
        </w:rPr>
        <w:t>税率调整结算。</w:t>
      </w: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p>
    <w:p>
      <w:pPr>
        <w:spacing w:line="440" w:lineRule="exact"/>
        <w:jc w:val="center"/>
        <w:rPr>
          <w:rFonts w:ascii="宋体" w:hAnsi="宋体" w:cs="宋体"/>
          <w:sz w:val="32"/>
          <w:szCs w:val="21"/>
          <w:highlight w:val="none"/>
        </w:rPr>
        <w:sectPr>
          <w:footerReference r:id="rId9" w:type="default"/>
          <w:pgSz w:w="11906" w:h="16838"/>
          <w:pgMar w:top="1440" w:right="1440" w:bottom="1440" w:left="1800" w:header="629" w:footer="556" w:gutter="0"/>
          <w:cols w:space="720" w:num="1"/>
          <w:docGrid w:linePitch="312" w:charSpace="0"/>
        </w:sectPr>
      </w:pPr>
    </w:p>
    <w:p>
      <w:pPr>
        <w:jc w:val="center"/>
        <w:rPr>
          <w:rFonts w:ascii="宋体" w:hAnsi="宋体" w:cs="宋体"/>
          <w:b/>
          <w:sz w:val="24"/>
          <w:szCs w:val="24"/>
          <w:highlight w:val="none"/>
        </w:rPr>
      </w:pPr>
      <w:r>
        <w:rPr>
          <w:rFonts w:hint="eastAsia" w:ascii="宋体" w:hAnsi="宋体" w:cs="宋体"/>
          <w:b/>
          <w:sz w:val="24"/>
          <w:szCs w:val="24"/>
          <w:highlight w:val="none"/>
        </w:rPr>
        <w:t>2.报价清单表</w:t>
      </w:r>
    </w:p>
    <w:p>
      <w:pPr>
        <w:adjustRightInd w:val="0"/>
        <w:snapToGrid w:val="0"/>
        <w:rPr>
          <w:rFonts w:ascii="宋体" w:hAnsi="宋体" w:cs="宋体"/>
          <w:kern w:val="0"/>
          <w:sz w:val="20"/>
          <w:highlight w:val="none"/>
        </w:rPr>
      </w:pPr>
      <w:r>
        <w:rPr>
          <w:rFonts w:hint="eastAsia" w:ascii="宋体" w:hAnsi="宋体" w:cs="宋体"/>
          <w:kern w:val="0"/>
          <w:sz w:val="20"/>
          <w:highlight w:val="none"/>
        </w:rPr>
        <w:t>标段</w:t>
      </w:r>
      <w:r>
        <w:rPr>
          <w:rFonts w:ascii="宋体" w:hAnsi="宋体" w:cs="宋体"/>
          <w:kern w:val="0"/>
          <w:sz w:val="20"/>
          <w:highlight w:val="none"/>
        </w:rPr>
        <w:t>：</w:t>
      </w:r>
      <w:r>
        <w:rPr>
          <w:rFonts w:hint="eastAsia" w:ascii="宋体" w:hAnsi="宋体" w:cs="宋体"/>
          <w:kern w:val="0"/>
          <w:sz w:val="20"/>
          <w:highlight w:val="none"/>
        </w:rPr>
        <w:t>G</w:t>
      </w:r>
      <w:r>
        <w:rPr>
          <w:rFonts w:ascii="宋体" w:hAnsi="宋体" w:cs="宋体"/>
          <w:kern w:val="0"/>
          <w:sz w:val="20"/>
          <w:highlight w:val="none"/>
        </w:rPr>
        <w:t>CYS</w:t>
      </w:r>
    </w:p>
    <w:tbl>
      <w:tblPr>
        <w:tblStyle w:val="42"/>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29"/>
        <w:gridCol w:w="851"/>
        <w:gridCol w:w="850"/>
        <w:gridCol w:w="851"/>
        <w:gridCol w:w="992"/>
        <w:gridCol w:w="1276"/>
        <w:gridCol w:w="1417"/>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4" w:hRule="atLeast"/>
          <w:jc w:val="center"/>
        </w:trPr>
        <w:tc>
          <w:tcPr>
            <w:tcW w:w="1129" w:type="dxa"/>
            <w:vMerge w:val="restart"/>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材料</w:t>
            </w:r>
            <w:r>
              <w:rPr>
                <w:rFonts w:ascii="宋体" w:hAnsi="宋体" w:cs="宋体"/>
                <w:kern w:val="0"/>
                <w:sz w:val="20"/>
                <w:highlight w:val="none"/>
              </w:rPr>
              <w:t>名称</w:t>
            </w:r>
          </w:p>
        </w:tc>
        <w:tc>
          <w:tcPr>
            <w:tcW w:w="851" w:type="dxa"/>
            <w:vMerge w:val="restart"/>
            <w:vAlign w:val="center"/>
          </w:tcPr>
          <w:p>
            <w:pPr>
              <w:adjustRightInd w:val="0"/>
              <w:snapToGrid w:val="0"/>
              <w:jc w:val="left"/>
              <w:rPr>
                <w:rFonts w:ascii="宋体" w:hAnsi="宋体" w:cs="宋体"/>
                <w:kern w:val="0"/>
                <w:sz w:val="20"/>
                <w:highlight w:val="none"/>
              </w:rPr>
            </w:pPr>
            <w:r>
              <w:rPr>
                <w:rFonts w:hint="eastAsia" w:ascii="宋体" w:hAnsi="宋体" w:cs="宋体"/>
                <w:kern w:val="0"/>
                <w:sz w:val="20"/>
                <w:highlight w:val="none"/>
              </w:rPr>
              <w:t>起始地点</w:t>
            </w:r>
          </w:p>
        </w:tc>
        <w:tc>
          <w:tcPr>
            <w:tcW w:w="850" w:type="dxa"/>
            <w:vMerge w:val="restart"/>
            <w:vAlign w:val="center"/>
          </w:tcPr>
          <w:p>
            <w:pPr>
              <w:adjustRightInd w:val="0"/>
              <w:snapToGrid w:val="0"/>
              <w:rPr>
                <w:rFonts w:ascii="宋体" w:hAnsi="宋体" w:cs="宋体"/>
                <w:kern w:val="0"/>
                <w:sz w:val="20"/>
                <w:highlight w:val="none"/>
              </w:rPr>
            </w:pPr>
            <w:r>
              <w:rPr>
                <w:rFonts w:hint="eastAsia" w:ascii="宋体" w:hAnsi="宋体" w:cs="宋体"/>
                <w:kern w:val="0"/>
                <w:sz w:val="20"/>
                <w:highlight w:val="none"/>
              </w:rPr>
              <w:t>结束地点</w:t>
            </w:r>
          </w:p>
        </w:tc>
        <w:tc>
          <w:tcPr>
            <w:tcW w:w="851"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预估</w:t>
            </w:r>
          </w:p>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数量</w:t>
            </w:r>
          </w:p>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(吨)</w:t>
            </w:r>
          </w:p>
        </w:tc>
        <w:tc>
          <w:tcPr>
            <w:tcW w:w="992" w:type="dxa"/>
            <w:vAlign w:val="center"/>
          </w:tcPr>
          <w:p>
            <w:pPr>
              <w:adjustRightInd w:val="0"/>
              <w:snapToGrid w:val="0"/>
              <w:jc w:val="left"/>
              <w:rPr>
                <w:rFonts w:ascii="宋体" w:hAnsi="宋体" w:cs="宋体"/>
                <w:kern w:val="0"/>
                <w:sz w:val="20"/>
                <w:highlight w:val="none"/>
              </w:rPr>
            </w:pPr>
            <w:r>
              <w:rPr>
                <w:rFonts w:hint="eastAsia" w:ascii="宋体" w:hAnsi="宋体" w:cs="宋体"/>
                <w:kern w:val="0"/>
                <w:sz w:val="20"/>
                <w:highlight w:val="none"/>
              </w:rPr>
              <w:t>运输价格(不含税)</w:t>
            </w:r>
          </w:p>
          <w:p>
            <w:pPr>
              <w:adjustRightInd w:val="0"/>
              <w:snapToGrid w:val="0"/>
              <w:jc w:val="left"/>
              <w:rPr>
                <w:rFonts w:ascii="宋体" w:hAnsi="宋体" w:cs="宋体"/>
                <w:kern w:val="0"/>
                <w:sz w:val="20"/>
                <w:highlight w:val="none"/>
              </w:rPr>
            </w:pPr>
            <w:r>
              <w:rPr>
                <w:rFonts w:hint="eastAsia" w:ascii="宋体" w:hAnsi="宋体" w:cs="宋体"/>
                <w:kern w:val="0"/>
                <w:sz w:val="20"/>
                <w:highlight w:val="none"/>
              </w:rPr>
              <w:t>(元/吨)</w:t>
            </w:r>
          </w:p>
        </w:tc>
        <w:tc>
          <w:tcPr>
            <w:tcW w:w="1276"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增值税</w:t>
            </w:r>
            <w:r>
              <w:rPr>
                <w:rFonts w:ascii="宋体" w:hAnsi="宋体" w:cs="宋体"/>
                <w:kern w:val="0"/>
                <w:sz w:val="20"/>
                <w:highlight w:val="none"/>
              </w:rPr>
              <w:t>（9%）</w:t>
            </w:r>
          </w:p>
        </w:tc>
        <w:tc>
          <w:tcPr>
            <w:tcW w:w="1417"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运输含税价格</w:t>
            </w:r>
          </w:p>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（元/吨）</w:t>
            </w:r>
          </w:p>
        </w:tc>
        <w:tc>
          <w:tcPr>
            <w:tcW w:w="1411"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金额</w:t>
            </w:r>
            <w:r>
              <w:rPr>
                <w:rFonts w:ascii="宋体" w:hAnsi="宋体" w:cs="宋体"/>
                <w:kern w:val="0"/>
                <w:sz w:val="20"/>
                <w:highlight w:val="none"/>
              </w:rPr>
              <w:t>（</w:t>
            </w:r>
            <w:r>
              <w:rPr>
                <w:rFonts w:hint="eastAsia" w:ascii="宋体" w:hAnsi="宋体" w:cs="宋体"/>
                <w:kern w:val="0"/>
                <w:sz w:val="20"/>
                <w:highlight w:val="none"/>
              </w:rPr>
              <w:t>元</w:t>
            </w:r>
            <w:r>
              <w:rPr>
                <w:rFonts w:ascii="宋体" w:hAnsi="宋体" w:cs="宋体"/>
                <w:kern w:val="0"/>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5" w:hRule="atLeast"/>
          <w:jc w:val="center"/>
        </w:trPr>
        <w:tc>
          <w:tcPr>
            <w:tcW w:w="1129" w:type="dxa"/>
            <w:vMerge w:val="continue"/>
            <w:vAlign w:val="center"/>
          </w:tcPr>
          <w:p>
            <w:pPr>
              <w:jc w:val="center"/>
              <w:rPr>
                <w:rFonts w:ascii="宋体" w:hAnsi="宋体"/>
                <w:sz w:val="18"/>
                <w:szCs w:val="18"/>
                <w:highlight w:val="none"/>
              </w:rPr>
            </w:pPr>
          </w:p>
        </w:tc>
        <w:tc>
          <w:tcPr>
            <w:tcW w:w="851" w:type="dxa"/>
            <w:vMerge w:val="continue"/>
            <w:vAlign w:val="center"/>
          </w:tcPr>
          <w:p>
            <w:pPr>
              <w:adjustRightInd w:val="0"/>
              <w:snapToGrid w:val="0"/>
              <w:jc w:val="center"/>
              <w:rPr>
                <w:rFonts w:ascii="宋体" w:hAnsi="宋体"/>
                <w:kern w:val="0"/>
                <w:sz w:val="20"/>
                <w:szCs w:val="21"/>
                <w:highlight w:val="none"/>
              </w:rPr>
            </w:pPr>
          </w:p>
        </w:tc>
        <w:tc>
          <w:tcPr>
            <w:tcW w:w="850" w:type="dxa"/>
            <w:vMerge w:val="continue"/>
            <w:vAlign w:val="center"/>
          </w:tcPr>
          <w:p>
            <w:pPr>
              <w:adjustRightInd w:val="0"/>
              <w:snapToGrid w:val="0"/>
              <w:jc w:val="center"/>
              <w:rPr>
                <w:rFonts w:ascii="宋体" w:hAnsi="宋体"/>
                <w:kern w:val="0"/>
                <w:sz w:val="20"/>
                <w:szCs w:val="21"/>
                <w:highlight w:val="none"/>
              </w:rPr>
            </w:pPr>
          </w:p>
        </w:tc>
        <w:tc>
          <w:tcPr>
            <w:tcW w:w="851"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(1)</w:t>
            </w:r>
          </w:p>
        </w:tc>
        <w:tc>
          <w:tcPr>
            <w:tcW w:w="992"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(2)</w:t>
            </w:r>
          </w:p>
        </w:tc>
        <w:tc>
          <w:tcPr>
            <w:tcW w:w="1276" w:type="dxa"/>
            <w:vAlign w:val="center"/>
          </w:tcPr>
          <w:p>
            <w:pPr>
              <w:adjustRightInd w:val="0"/>
              <w:snapToGrid w:val="0"/>
              <w:rPr>
                <w:rFonts w:ascii="宋体" w:hAnsi="宋体" w:cs="宋体"/>
                <w:kern w:val="0"/>
                <w:sz w:val="20"/>
                <w:highlight w:val="none"/>
              </w:rPr>
            </w:pPr>
            <w:r>
              <w:rPr>
                <w:rFonts w:hint="eastAsia" w:ascii="宋体" w:hAnsi="宋体" w:cs="宋体"/>
                <w:kern w:val="0"/>
                <w:sz w:val="20"/>
                <w:highlight w:val="none"/>
              </w:rPr>
              <w:t>(3)=(2)×9</w:t>
            </w:r>
            <w:r>
              <w:rPr>
                <w:rFonts w:ascii="宋体" w:hAnsi="宋体" w:cs="宋体"/>
                <w:kern w:val="0"/>
                <w:sz w:val="20"/>
                <w:highlight w:val="none"/>
              </w:rPr>
              <w:t>%</w:t>
            </w:r>
          </w:p>
        </w:tc>
        <w:tc>
          <w:tcPr>
            <w:tcW w:w="1417"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(4)=(2)+(3)</w:t>
            </w:r>
          </w:p>
        </w:tc>
        <w:tc>
          <w:tcPr>
            <w:tcW w:w="1411" w:type="dxa"/>
            <w:vAlign w:val="center"/>
          </w:tcPr>
          <w:p>
            <w:pPr>
              <w:adjustRightInd w:val="0"/>
              <w:snapToGrid w:val="0"/>
              <w:jc w:val="center"/>
              <w:rPr>
                <w:rFonts w:ascii="宋体" w:hAnsi="宋体" w:cs="宋体"/>
                <w:kern w:val="0"/>
                <w:sz w:val="20"/>
                <w:highlight w:val="none"/>
              </w:rPr>
            </w:pPr>
            <w:r>
              <w:rPr>
                <w:rFonts w:hint="eastAsia" w:ascii="宋体" w:hAnsi="宋体" w:cs="宋体"/>
                <w:kern w:val="0"/>
                <w:sz w:val="20"/>
                <w:highlight w:val="none"/>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19" w:hRule="atLeast"/>
          <w:jc w:val="center"/>
        </w:trPr>
        <w:tc>
          <w:tcPr>
            <w:tcW w:w="1129" w:type="dxa"/>
            <w:vAlign w:val="center"/>
          </w:tcPr>
          <w:p>
            <w:pPr>
              <w:jc w:val="center"/>
              <w:rPr>
                <w:rFonts w:ascii="宋体" w:hAnsi="宋体"/>
                <w:sz w:val="18"/>
                <w:szCs w:val="18"/>
                <w:highlight w:val="none"/>
              </w:rPr>
            </w:pPr>
            <w:r>
              <w:rPr>
                <w:rFonts w:hint="eastAsia" w:ascii="宋体" w:hAnsi="宋体"/>
                <w:sz w:val="18"/>
                <w:szCs w:val="18"/>
                <w:highlight w:val="none"/>
              </w:rPr>
              <w:t>钢材</w:t>
            </w:r>
            <w:r>
              <w:rPr>
                <w:rFonts w:ascii="宋体" w:hAnsi="宋体"/>
                <w:sz w:val="18"/>
                <w:szCs w:val="18"/>
                <w:highlight w:val="none"/>
              </w:rPr>
              <w:t>(钢筋)</w:t>
            </w:r>
          </w:p>
        </w:tc>
        <w:tc>
          <w:tcPr>
            <w:tcW w:w="851" w:type="dxa"/>
            <w:vAlign w:val="center"/>
          </w:tcPr>
          <w:p>
            <w:pPr>
              <w:adjustRightInd w:val="0"/>
              <w:snapToGrid w:val="0"/>
              <w:jc w:val="center"/>
              <w:rPr>
                <w:rFonts w:ascii="宋体" w:hAnsi="宋体" w:cs="宋体"/>
                <w:kern w:val="0"/>
                <w:sz w:val="20"/>
                <w:highlight w:val="none"/>
              </w:rPr>
            </w:pPr>
            <w:r>
              <w:rPr>
                <w:rFonts w:hint="eastAsia" w:ascii="宋体" w:hAnsi="宋体"/>
                <w:kern w:val="0"/>
                <w:sz w:val="20"/>
                <w:szCs w:val="21"/>
                <w:highlight w:val="none"/>
              </w:rPr>
              <w:t>重庆果园港</w:t>
            </w:r>
          </w:p>
        </w:tc>
        <w:tc>
          <w:tcPr>
            <w:tcW w:w="850" w:type="dxa"/>
            <w:vAlign w:val="center"/>
          </w:tcPr>
          <w:p>
            <w:pPr>
              <w:adjustRightInd w:val="0"/>
              <w:snapToGrid w:val="0"/>
              <w:jc w:val="center"/>
              <w:rPr>
                <w:rFonts w:ascii="宋体" w:hAnsi="宋体" w:cs="宋体"/>
                <w:kern w:val="0"/>
                <w:sz w:val="20"/>
                <w:highlight w:val="none"/>
              </w:rPr>
            </w:pPr>
            <w:r>
              <w:rPr>
                <w:rFonts w:hint="eastAsia" w:ascii="宋体" w:hAnsi="宋体"/>
                <w:kern w:val="0"/>
                <w:sz w:val="20"/>
                <w:szCs w:val="21"/>
                <w:highlight w:val="none"/>
              </w:rPr>
              <w:t>雷波糖房村码头钢材库</w:t>
            </w:r>
          </w:p>
        </w:tc>
        <w:tc>
          <w:tcPr>
            <w:tcW w:w="851" w:type="dxa"/>
            <w:vAlign w:val="center"/>
          </w:tcPr>
          <w:p>
            <w:pPr>
              <w:adjustRightInd w:val="0"/>
              <w:snapToGrid w:val="0"/>
              <w:jc w:val="center"/>
              <w:rPr>
                <w:rFonts w:ascii="宋体" w:hAnsi="宋体" w:cs="宋体"/>
                <w:kern w:val="0"/>
                <w:sz w:val="20"/>
                <w:highlight w:val="none"/>
              </w:rPr>
            </w:pPr>
            <w:r>
              <w:rPr>
                <w:rFonts w:ascii="宋体" w:hAnsi="宋体" w:cs="宋体"/>
                <w:kern w:val="0"/>
                <w:sz w:val="20"/>
                <w:highlight w:val="none"/>
              </w:rPr>
              <w:t>5</w:t>
            </w:r>
            <w:r>
              <w:rPr>
                <w:rFonts w:hint="eastAsia" w:ascii="宋体" w:hAnsi="宋体" w:cs="宋体"/>
                <w:kern w:val="0"/>
                <w:sz w:val="20"/>
                <w:highlight w:val="none"/>
              </w:rPr>
              <w:t>00000</w:t>
            </w:r>
          </w:p>
        </w:tc>
        <w:tc>
          <w:tcPr>
            <w:tcW w:w="992" w:type="dxa"/>
            <w:vAlign w:val="center"/>
          </w:tcPr>
          <w:p>
            <w:pPr>
              <w:adjustRightInd w:val="0"/>
              <w:snapToGrid w:val="0"/>
              <w:jc w:val="center"/>
              <w:rPr>
                <w:rFonts w:ascii="宋体" w:hAnsi="宋体" w:cs="宋体"/>
                <w:kern w:val="0"/>
                <w:sz w:val="20"/>
                <w:highlight w:val="none"/>
              </w:rPr>
            </w:pPr>
          </w:p>
        </w:tc>
        <w:tc>
          <w:tcPr>
            <w:tcW w:w="1276" w:type="dxa"/>
            <w:vAlign w:val="center"/>
          </w:tcPr>
          <w:p>
            <w:pPr>
              <w:adjustRightInd w:val="0"/>
              <w:snapToGrid w:val="0"/>
              <w:jc w:val="center"/>
              <w:rPr>
                <w:rFonts w:ascii="宋体" w:hAnsi="宋体" w:cs="宋体"/>
                <w:kern w:val="0"/>
                <w:sz w:val="20"/>
                <w:highlight w:val="none"/>
              </w:rPr>
            </w:pPr>
          </w:p>
        </w:tc>
        <w:tc>
          <w:tcPr>
            <w:tcW w:w="1417" w:type="dxa"/>
            <w:vAlign w:val="center"/>
          </w:tcPr>
          <w:p>
            <w:pPr>
              <w:adjustRightInd w:val="0"/>
              <w:snapToGrid w:val="0"/>
              <w:jc w:val="center"/>
              <w:rPr>
                <w:rFonts w:ascii="宋体" w:hAnsi="宋体" w:cs="宋体"/>
                <w:kern w:val="0"/>
                <w:sz w:val="20"/>
                <w:highlight w:val="none"/>
              </w:rPr>
            </w:pPr>
          </w:p>
        </w:tc>
        <w:tc>
          <w:tcPr>
            <w:tcW w:w="1411" w:type="dxa"/>
            <w:vAlign w:val="center"/>
          </w:tcPr>
          <w:p>
            <w:pPr>
              <w:adjustRightInd w:val="0"/>
              <w:snapToGrid w:val="0"/>
              <w:jc w:val="center"/>
              <w:rPr>
                <w:rFonts w:ascii="宋体" w:hAnsi="宋体" w:cs="宋体"/>
                <w:kern w:val="0"/>
                <w:sz w:val="20"/>
                <w:highlight w:val="none"/>
              </w:rPr>
            </w:pPr>
          </w:p>
        </w:tc>
      </w:tr>
    </w:tbl>
    <w:p>
      <w:pPr>
        <w:widowControl/>
        <w:spacing w:line="276" w:lineRule="auto"/>
        <w:jc w:val="left"/>
        <w:rPr>
          <w:rFonts w:ascii="宋体" w:hAnsi="宋体" w:cs="宋体"/>
          <w:szCs w:val="21"/>
          <w:highlight w:val="none"/>
        </w:rPr>
      </w:pPr>
      <w:r>
        <w:rPr>
          <w:rFonts w:hint="eastAsia" w:ascii="宋体" w:hAnsi="宋体" w:cs="宋体"/>
          <w:szCs w:val="21"/>
          <w:highlight w:val="none"/>
        </w:rPr>
        <w:t>注：1.“数量”×“运输含税价格”=金额（元）</w:t>
      </w:r>
    </w:p>
    <w:p>
      <w:pPr>
        <w:spacing w:line="276" w:lineRule="auto"/>
        <w:ind w:firstLine="420" w:firstLineChars="200"/>
        <w:jc w:val="left"/>
        <w:rPr>
          <w:rFonts w:ascii="宋体" w:hAnsi="宋体" w:cs="宋体"/>
          <w:szCs w:val="21"/>
          <w:highlight w:val="none"/>
        </w:rPr>
      </w:pPr>
      <w:r>
        <w:rPr>
          <w:rFonts w:hint="eastAsia" w:ascii="宋体" w:hAnsi="宋体" w:cs="宋体"/>
          <w:szCs w:val="21"/>
          <w:highlight w:val="none"/>
        </w:rPr>
        <w:t>2.</w:t>
      </w:r>
      <w:r>
        <w:rPr>
          <w:rFonts w:hint="eastAsia" w:hAnsi="宋体" w:cs="宋体"/>
          <w:highlight w:val="none"/>
        </w:rPr>
        <w:t>报价清单合计金额应与投标</w:t>
      </w:r>
      <w:r>
        <w:rPr>
          <w:rFonts w:hAnsi="宋体" w:cs="宋体"/>
          <w:highlight w:val="none"/>
        </w:rPr>
        <w:t>函中的报价一致，否则</w:t>
      </w:r>
      <w:r>
        <w:rPr>
          <w:rFonts w:hint="eastAsia" w:hAnsi="宋体" w:cs="宋体"/>
          <w:highlight w:val="none"/>
        </w:rPr>
        <w:t>按照谈判须知</w:t>
      </w:r>
      <w:r>
        <w:rPr>
          <w:rFonts w:hAnsi="宋体" w:cs="宋体"/>
          <w:highlight w:val="none"/>
        </w:rPr>
        <w:t>前附表24</w:t>
      </w:r>
      <w:r>
        <w:rPr>
          <w:rFonts w:hint="eastAsia" w:hAnsi="宋体" w:cs="宋体"/>
          <w:highlight w:val="none"/>
        </w:rPr>
        <w:t>款要求</w:t>
      </w:r>
      <w:r>
        <w:rPr>
          <w:rFonts w:hAnsi="宋体" w:cs="宋体"/>
          <w:highlight w:val="none"/>
        </w:rPr>
        <w:t>修正合计金额。</w:t>
      </w: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rPr>
          <w:rFonts w:ascii="宋体" w:hAnsi="宋体" w:cs="宋体"/>
          <w:szCs w:val="21"/>
          <w:highlight w:val="none"/>
        </w:rPr>
      </w:pPr>
    </w:p>
    <w:p>
      <w:pPr>
        <w:spacing w:line="360" w:lineRule="auto"/>
        <w:jc w:val="center"/>
        <w:rPr>
          <w:rFonts w:ascii="宋体" w:hAnsi="宋体"/>
          <w:b/>
          <w:color w:val="000000"/>
          <w:sz w:val="32"/>
          <w:szCs w:val="32"/>
          <w:highlight w:val="none"/>
        </w:rPr>
        <w:sectPr>
          <w:pgSz w:w="11906" w:h="16838"/>
          <w:pgMar w:top="1440" w:right="1440" w:bottom="1440" w:left="1800" w:header="629" w:footer="556" w:gutter="0"/>
          <w:cols w:space="720" w:num="1"/>
          <w:docGrid w:linePitch="312" w:charSpace="0"/>
        </w:sectPr>
      </w:pPr>
    </w:p>
    <w:p>
      <w:pPr>
        <w:spacing w:line="360" w:lineRule="auto"/>
        <w:jc w:val="center"/>
        <w:rPr>
          <w:rFonts w:ascii="宋体" w:hAnsi="宋体"/>
          <w:b/>
          <w:color w:val="000000"/>
          <w:sz w:val="32"/>
          <w:szCs w:val="32"/>
          <w:highlight w:val="none"/>
        </w:rPr>
      </w:pPr>
      <w:r>
        <w:rPr>
          <w:rFonts w:hint="eastAsia" w:ascii="宋体" w:hAnsi="宋体"/>
          <w:b/>
          <w:color w:val="000000"/>
          <w:sz w:val="32"/>
          <w:szCs w:val="32"/>
          <w:highlight w:val="none"/>
        </w:rPr>
        <w:t>六</w:t>
      </w:r>
      <w:r>
        <w:rPr>
          <w:rFonts w:ascii="宋体" w:hAnsi="宋体"/>
          <w:b/>
          <w:color w:val="000000"/>
          <w:sz w:val="32"/>
          <w:szCs w:val="32"/>
          <w:highlight w:val="none"/>
        </w:rPr>
        <w:t>、</w:t>
      </w:r>
      <w:r>
        <w:rPr>
          <w:rFonts w:hint="eastAsia" w:ascii="宋体" w:hAnsi="宋体"/>
          <w:b/>
          <w:color w:val="000000"/>
          <w:sz w:val="32"/>
          <w:szCs w:val="32"/>
          <w:highlight w:val="none"/>
        </w:rPr>
        <w:t>相关运输服务计划</w:t>
      </w:r>
    </w:p>
    <w:p>
      <w:pPr>
        <w:spacing w:line="360" w:lineRule="auto"/>
        <w:rPr>
          <w:color w:val="000000"/>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本方案包括以下内容：</w:t>
      </w:r>
    </w:p>
    <w:p>
      <w:pPr>
        <w:spacing w:line="336" w:lineRule="auto"/>
        <w:ind w:firstLine="420" w:firstLineChars="200"/>
        <w:rPr>
          <w:rFonts w:ascii="宋体" w:hAnsi="宋体" w:cs="宋体"/>
          <w:szCs w:val="22"/>
          <w:highlight w:val="none"/>
        </w:rPr>
      </w:pPr>
      <w:r>
        <w:rPr>
          <w:rFonts w:hint="eastAsia" w:ascii="宋体" w:hAnsi="宋体" w:cs="宋体"/>
          <w:szCs w:val="22"/>
          <w:highlight w:val="none"/>
        </w:rPr>
        <w:t>1、拟投入的运输设备</w:t>
      </w:r>
      <w:r>
        <w:rPr>
          <w:rFonts w:ascii="宋体" w:hAnsi="宋体" w:cs="宋体"/>
          <w:szCs w:val="22"/>
          <w:highlight w:val="none"/>
        </w:rPr>
        <w:t>数量、型号</w:t>
      </w:r>
      <w:r>
        <w:rPr>
          <w:rFonts w:hint="eastAsia" w:ascii="宋体" w:hAnsi="宋体" w:cs="宋体"/>
          <w:szCs w:val="22"/>
          <w:highlight w:val="none"/>
        </w:rPr>
        <w:t>；</w:t>
      </w:r>
    </w:p>
    <w:p>
      <w:pPr>
        <w:spacing w:line="336" w:lineRule="auto"/>
        <w:ind w:firstLine="420" w:firstLineChars="200"/>
        <w:rPr>
          <w:rFonts w:ascii="宋体" w:hAnsi="宋体" w:cs="宋体"/>
          <w:szCs w:val="22"/>
          <w:highlight w:val="none"/>
        </w:rPr>
      </w:pPr>
      <w:r>
        <w:rPr>
          <w:rFonts w:hint="eastAsia" w:ascii="宋体" w:hAnsi="宋体" w:cs="宋体"/>
          <w:szCs w:val="22"/>
          <w:highlight w:val="none"/>
        </w:rPr>
        <w:t>2、确保运输时效和安全的措施；</w:t>
      </w:r>
    </w:p>
    <w:p>
      <w:pPr>
        <w:spacing w:line="336" w:lineRule="auto"/>
        <w:ind w:firstLine="420" w:firstLineChars="200"/>
        <w:rPr>
          <w:rFonts w:ascii="宋体" w:hAnsi="宋体" w:cs="宋体"/>
          <w:szCs w:val="22"/>
          <w:highlight w:val="none"/>
        </w:rPr>
      </w:pPr>
      <w:r>
        <w:rPr>
          <w:rFonts w:hint="eastAsia" w:ascii="宋体" w:hAnsi="宋体" w:cs="宋体"/>
          <w:szCs w:val="22"/>
          <w:highlight w:val="none"/>
        </w:rPr>
        <w:t>3、材料运输实施方案、紧急情况下的运输方案；</w:t>
      </w:r>
    </w:p>
    <w:p>
      <w:pPr>
        <w:spacing w:line="360" w:lineRule="auto"/>
        <w:ind w:firstLine="420" w:firstLineChars="200"/>
        <w:rPr>
          <w:color w:val="000000"/>
          <w:highlight w:val="none"/>
        </w:rPr>
      </w:pPr>
      <w:r>
        <w:rPr>
          <w:rFonts w:hint="eastAsia" w:ascii="宋体" w:hAnsi="宋体" w:cs="宋体"/>
          <w:szCs w:val="22"/>
          <w:highlight w:val="none"/>
        </w:rPr>
        <w:t>4、</w:t>
      </w:r>
      <w:r>
        <w:rPr>
          <w:rFonts w:hint="eastAsia" w:ascii="宋体" w:hAnsi="宋体" w:cs="宋体"/>
          <w:szCs w:val="21"/>
          <w:highlight w:val="none"/>
        </w:rPr>
        <w:t>其他应说明的事项。</w:t>
      </w: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rPr>
          <w:color w:val="000000"/>
          <w:highlight w:val="none"/>
        </w:rPr>
      </w:pPr>
    </w:p>
    <w:p>
      <w:pPr>
        <w:spacing w:line="360" w:lineRule="auto"/>
        <w:jc w:val="center"/>
        <w:rPr>
          <w:rFonts w:ascii="宋体" w:hAnsi="宋体" w:cs="宋体"/>
          <w:b/>
          <w:sz w:val="32"/>
          <w:highlight w:val="none"/>
        </w:rPr>
      </w:pPr>
      <w:r>
        <w:rPr>
          <w:rFonts w:ascii="宋体" w:hAnsi="宋体" w:cs="宋体"/>
          <w:b/>
          <w:sz w:val="32"/>
          <w:highlight w:val="none"/>
        </w:rPr>
        <w:br w:type="page"/>
      </w:r>
    </w:p>
    <w:p>
      <w:pPr>
        <w:spacing w:line="360" w:lineRule="auto"/>
        <w:jc w:val="center"/>
        <w:rPr>
          <w:rFonts w:ascii="宋体" w:hAnsi="宋体" w:cs="宋体"/>
          <w:b/>
          <w:sz w:val="32"/>
          <w:highlight w:val="none"/>
        </w:rPr>
      </w:pPr>
      <w:r>
        <w:rPr>
          <w:rFonts w:hint="eastAsia" w:ascii="宋体" w:hAnsi="宋体" w:cs="宋体"/>
          <w:b/>
          <w:sz w:val="32"/>
          <w:highlight w:val="none"/>
        </w:rPr>
        <w:t>七、其他资料（如有）</w:t>
      </w:r>
    </w:p>
    <w:p>
      <w:pPr>
        <w:rPr>
          <w:rFonts w:hAnsi="宋体"/>
          <w:b/>
          <w:sz w:val="24"/>
          <w:highlight w:val="none"/>
        </w:rPr>
      </w:pPr>
      <w:r>
        <w:rPr>
          <w:rFonts w:hint="eastAsia" w:hAnsi="宋体"/>
          <w:b/>
          <w:sz w:val="24"/>
          <w:highlight w:val="none"/>
        </w:rPr>
        <w:t xml:space="preserve">          </w:t>
      </w:r>
    </w:p>
    <w:p>
      <w:pPr>
        <w:ind w:firstLine="1680" w:firstLineChars="700"/>
        <w:rPr>
          <w:rFonts w:hAnsi="宋体"/>
          <w:sz w:val="24"/>
          <w:highlight w:val="none"/>
        </w:rPr>
      </w:pPr>
    </w:p>
    <w:p>
      <w:pPr>
        <w:spacing w:line="360" w:lineRule="auto"/>
        <w:rPr>
          <w:color w:val="000000"/>
          <w:highlight w:val="none"/>
        </w:rPr>
      </w:pPr>
      <w:r>
        <w:rPr>
          <w:rFonts w:hint="eastAsia" w:hAnsi="宋体"/>
          <w:highlight w:val="none"/>
        </w:rPr>
        <w:t>1.</w:t>
      </w:r>
      <w:r>
        <w:rPr>
          <w:rFonts w:hint="eastAsia" w:ascii="宋体" w:hAnsi="宋体" w:cs="宋体"/>
          <w:highlight w:val="none"/>
          <w:lang w:val="zh-CN" w:bidi="zh-CN"/>
        </w:rPr>
        <w:t xml:space="preserve"> </w:t>
      </w:r>
      <w:r>
        <w:rPr>
          <w:rFonts w:hint="eastAsia" w:hAnsi="宋体"/>
          <w:highlight w:val="none"/>
        </w:rPr>
        <w:t>投标人</w:t>
      </w:r>
      <w:r>
        <w:rPr>
          <w:rFonts w:hAnsi="宋体"/>
          <w:highlight w:val="none"/>
        </w:rPr>
        <w:t>认为需要补充的资料</w:t>
      </w:r>
      <w:r>
        <w:rPr>
          <w:rFonts w:hint="eastAsia" w:hAnsi="宋体"/>
          <w:highlight w:val="none"/>
        </w:rPr>
        <w:t>（如有）</w:t>
      </w:r>
    </w:p>
    <w:p>
      <w:pPr>
        <w:spacing w:line="360" w:lineRule="auto"/>
        <w:rPr>
          <w:color w:val="000000"/>
          <w:highlight w:val="none"/>
        </w:rPr>
      </w:pPr>
    </w:p>
    <w:p>
      <w:pPr>
        <w:spacing w:line="360" w:lineRule="auto"/>
        <w:rPr>
          <w:color w:val="000000"/>
          <w:highlight w:val="none"/>
        </w:rPr>
        <w:sectPr>
          <w:pgSz w:w="11906" w:h="16838"/>
          <w:pgMar w:top="1440" w:right="1440" w:bottom="1440" w:left="1800" w:header="629" w:footer="556" w:gutter="0"/>
          <w:cols w:space="720" w:num="1"/>
          <w:docGrid w:linePitch="312" w:charSpace="0"/>
        </w:sectPr>
      </w:pPr>
    </w:p>
    <w:p>
      <w:pPr>
        <w:spacing w:line="360" w:lineRule="auto"/>
        <w:rPr>
          <w:color w:val="000000"/>
          <w:highlight w:val="none"/>
        </w:rPr>
      </w:pPr>
    </w:p>
    <w:bookmarkEnd w:id="461"/>
    <w:bookmarkEnd w:id="497"/>
    <w:p>
      <w:pPr>
        <w:pStyle w:val="3"/>
        <w:spacing w:line="360" w:lineRule="exact"/>
        <w:jc w:val="center"/>
        <w:rPr>
          <w:rFonts w:ascii="宋体" w:hAnsi="宋体" w:eastAsia="宋体"/>
          <w:color w:val="000000"/>
          <w:sz w:val="36"/>
          <w:highlight w:val="none"/>
        </w:rPr>
      </w:pPr>
      <w:bookmarkStart w:id="500" w:name="_Toc50654848"/>
      <w:r>
        <w:rPr>
          <w:rFonts w:hint="eastAsia" w:ascii="宋体" w:hAnsi="宋体" w:eastAsia="宋体"/>
          <w:color w:val="000000"/>
          <w:sz w:val="36"/>
          <w:highlight w:val="none"/>
        </w:rPr>
        <w:t>第五章  合同条款</w:t>
      </w:r>
      <w:bookmarkEnd w:id="500"/>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jc w:val="center"/>
        <w:rPr>
          <w:rFonts w:ascii="仿宋" w:hAnsi="仿宋" w:eastAsia="仿宋" w:cs="仿宋"/>
          <w:kern w:val="0"/>
          <w:sz w:val="24"/>
          <w:szCs w:val="24"/>
          <w:highlight w:val="none"/>
          <w:lang w:val="en-GB"/>
        </w:rPr>
      </w:pPr>
      <w:r>
        <w:rPr>
          <w:rFonts w:ascii="仿宋" w:hAnsi="仿宋" w:eastAsia="仿宋" w:cs="仿宋"/>
          <w:kern w:val="0"/>
          <w:sz w:val="24"/>
          <w:szCs w:val="24"/>
          <w:highlight w:val="none"/>
        </w:rPr>
        <w:drawing>
          <wp:inline distT="0" distB="0" distL="0" distR="0">
            <wp:extent cx="4495800" cy="438150"/>
            <wp:effectExtent l="0" t="0" r="0" b="0"/>
            <wp:docPr id="4" name="图片 4" desc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95800" cy="438150"/>
                    </a:xfrm>
                    <a:prstGeom prst="rect">
                      <a:avLst/>
                    </a:prstGeom>
                    <a:noFill/>
                    <a:ln>
                      <a:noFill/>
                    </a:ln>
                  </pic:spPr>
                </pic:pic>
              </a:graphicData>
            </a:graphic>
          </wp:inline>
        </w:drawing>
      </w:r>
    </w:p>
    <w:p>
      <w:pPr>
        <w:keepNext/>
        <w:widowControl/>
        <w:spacing w:before="220" w:after="300" w:line="192" w:lineRule="auto"/>
        <w:jc w:val="left"/>
        <w:outlineLvl w:val="0"/>
        <w:rPr>
          <w:rFonts w:ascii="仿宋" w:hAnsi="仿宋" w:eastAsia="仿宋" w:cs="仿宋"/>
          <w:spacing w:val="-8"/>
          <w:kern w:val="0"/>
          <w:sz w:val="84"/>
          <w:szCs w:val="84"/>
          <w:highlight w:val="none"/>
          <w:lang w:val="zh-CN"/>
        </w:rPr>
      </w:pPr>
    </w:p>
    <w:p>
      <w:pPr>
        <w:widowControl/>
        <w:spacing w:line="288" w:lineRule="auto"/>
        <w:jc w:val="center"/>
        <w:outlineLvl w:val="1"/>
        <w:rPr>
          <w:rFonts w:ascii="仿宋" w:hAnsi="仿宋" w:eastAsia="仿宋" w:cs="仿宋"/>
          <w:spacing w:val="7"/>
          <w:kern w:val="0"/>
          <w:sz w:val="84"/>
          <w:szCs w:val="84"/>
          <w:highlight w:val="none"/>
          <w:lang w:val="ja-JP"/>
        </w:rPr>
      </w:pPr>
      <w:bookmarkStart w:id="501" w:name="_Toc50406506"/>
      <w:r>
        <w:rPr>
          <w:rFonts w:hint="eastAsia" w:ascii="仿宋" w:hAnsi="仿宋" w:eastAsia="仿宋" w:cs="仿宋"/>
          <w:b/>
          <w:bCs/>
          <w:spacing w:val="7"/>
          <w:kern w:val="0"/>
          <w:sz w:val="84"/>
          <w:szCs w:val="84"/>
          <w:highlight w:val="none"/>
          <w:lang w:val="de-DE"/>
        </w:rPr>
        <w:t>货物运输合同</w:t>
      </w:r>
      <w:bookmarkEnd w:id="501"/>
    </w:p>
    <w:p>
      <w:pPr>
        <w:widowControl/>
        <w:jc w:val="left"/>
        <w:rPr>
          <w:rFonts w:ascii="仿宋" w:hAnsi="仿宋" w:eastAsia="仿宋" w:cs="仿宋"/>
          <w:kern w:val="0"/>
          <w:sz w:val="24"/>
          <w:szCs w:val="24"/>
          <w:highlight w:val="none"/>
          <w:lang w:val="ja-JP"/>
        </w:rPr>
      </w:pPr>
    </w:p>
    <w:p>
      <w:pPr>
        <w:widowControl/>
        <w:jc w:val="left"/>
        <w:rPr>
          <w:rFonts w:ascii="仿宋" w:hAnsi="仿宋" w:eastAsia="仿宋" w:cs="仿宋"/>
          <w:kern w:val="0"/>
          <w:sz w:val="24"/>
          <w:szCs w:val="24"/>
          <w:highlight w:val="none"/>
          <w:lang w:val="ja-JP"/>
        </w:rPr>
      </w:pPr>
    </w:p>
    <w:p>
      <w:pPr>
        <w:widowControl/>
        <w:spacing w:line="288" w:lineRule="auto"/>
        <w:ind w:firstLine="2244" w:firstLineChars="600"/>
        <w:outlineLvl w:val="1"/>
        <w:rPr>
          <w:rFonts w:ascii="仿宋" w:hAnsi="仿宋" w:eastAsia="仿宋" w:cs="仿宋"/>
          <w:b/>
          <w:bCs/>
          <w:spacing w:val="7"/>
          <w:kern w:val="0"/>
          <w:sz w:val="36"/>
          <w:szCs w:val="36"/>
          <w:highlight w:val="none"/>
        </w:rPr>
      </w:pPr>
      <w:bookmarkStart w:id="502" w:name="_Toc50406507"/>
      <w:r>
        <w:rPr>
          <w:rFonts w:hint="eastAsia" w:ascii="仿宋" w:hAnsi="仿宋" w:eastAsia="仿宋" w:cs="仿宋"/>
          <w:spacing w:val="7"/>
          <w:kern w:val="0"/>
          <w:sz w:val="36"/>
          <w:szCs w:val="36"/>
          <w:highlight w:val="none"/>
          <w:lang w:val="ja-JP" w:eastAsia="ja-JP"/>
        </w:rPr>
        <w:t>甲方：</w:t>
      </w:r>
      <w:r>
        <w:rPr>
          <w:rFonts w:hint="eastAsia" w:ascii="仿宋" w:hAnsi="仿宋" w:eastAsia="仿宋" w:cs="仿宋"/>
          <w:spacing w:val="7"/>
          <w:kern w:val="0"/>
          <w:sz w:val="36"/>
          <w:szCs w:val="36"/>
          <w:highlight w:val="none"/>
          <w:u w:val="single"/>
        </w:rPr>
        <w:t>四川交投物流有限公司</w:t>
      </w:r>
      <w:bookmarkEnd w:id="502"/>
    </w:p>
    <w:p>
      <w:pPr>
        <w:widowControl/>
        <w:spacing w:line="288" w:lineRule="auto"/>
        <w:ind w:firstLine="2244" w:firstLineChars="600"/>
        <w:jc w:val="left"/>
        <w:outlineLvl w:val="1"/>
        <w:rPr>
          <w:rFonts w:ascii="仿宋" w:hAnsi="仿宋" w:eastAsia="仿宋" w:cs="仿宋"/>
          <w:spacing w:val="7"/>
          <w:kern w:val="0"/>
          <w:sz w:val="36"/>
          <w:szCs w:val="36"/>
          <w:highlight w:val="none"/>
          <w:lang w:val="de-DE"/>
        </w:rPr>
      </w:pPr>
    </w:p>
    <w:p>
      <w:pPr>
        <w:widowControl/>
        <w:spacing w:line="288" w:lineRule="auto"/>
        <w:ind w:firstLine="2244" w:firstLineChars="600"/>
        <w:jc w:val="left"/>
        <w:outlineLvl w:val="1"/>
        <w:rPr>
          <w:rFonts w:ascii="仿宋" w:hAnsi="仿宋" w:eastAsia="仿宋" w:cs="仿宋"/>
          <w:b/>
          <w:bCs/>
          <w:spacing w:val="7"/>
          <w:kern w:val="0"/>
          <w:sz w:val="36"/>
          <w:szCs w:val="36"/>
          <w:highlight w:val="none"/>
        </w:rPr>
      </w:pPr>
      <w:bookmarkStart w:id="503" w:name="_Toc50406508"/>
      <w:r>
        <w:rPr>
          <w:rFonts w:hint="eastAsia" w:ascii="仿宋" w:hAnsi="仿宋" w:eastAsia="仿宋" w:cs="仿宋"/>
          <w:spacing w:val="7"/>
          <w:kern w:val="0"/>
          <w:sz w:val="36"/>
          <w:szCs w:val="36"/>
          <w:highlight w:val="none"/>
          <w:lang w:val="de-DE"/>
        </w:rPr>
        <w:t>乙方：</w:t>
      </w:r>
      <w:bookmarkEnd w:id="503"/>
      <w:r>
        <w:rPr>
          <w:rFonts w:hint="eastAsia" w:ascii="仿宋" w:hAnsi="仿宋" w:eastAsia="仿宋" w:cs="仿宋"/>
          <w:spacing w:val="7"/>
          <w:kern w:val="0"/>
          <w:sz w:val="36"/>
          <w:szCs w:val="36"/>
          <w:highlight w:val="none"/>
          <w:u w:val="single"/>
        </w:rPr>
        <w:t xml:space="preserve">                 </w:t>
      </w:r>
    </w:p>
    <w:p>
      <w:pPr>
        <w:widowControl/>
        <w:spacing w:after="240" w:line="312" w:lineRule="auto"/>
        <w:jc w:val="left"/>
        <w:rPr>
          <w:rFonts w:ascii="仿宋" w:hAnsi="仿宋" w:eastAsia="仿宋" w:cs="仿宋"/>
          <w:i/>
          <w:iCs/>
          <w:kern w:val="0"/>
          <w:sz w:val="26"/>
          <w:szCs w:val="26"/>
          <w:highlight w:val="none"/>
        </w:rPr>
      </w:pPr>
    </w:p>
    <w:p>
      <w:pPr>
        <w:widowControl/>
        <w:spacing w:after="240" w:line="312" w:lineRule="auto"/>
        <w:jc w:val="left"/>
        <w:rPr>
          <w:rFonts w:ascii="仿宋" w:hAnsi="仿宋" w:eastAsia="仿宋" w:cs="仿宋"/>
          <w:i/>
          <w:iCs/>
          <w:kern w:val="0"/>
          <w:sz w:val="26"/>
          <w:szCs w:val="26"/>
          <w:highlight w:val="none"/>
        </w:rPr>
      </w:pPr>
    </w:p>
    <w:p>
      <w:pPr>
        <w:widowControl/>
        <w:spacing w:after="240" w:line="312" w:lineRule="auto"/>
        <w:jc w:val="left"/>
        <w:rPr>
          <w:rFonts w:ascii="仿宋" w:hAnsi="仿宋" w:eastAsia="仿宋" w:cs="仿宋"/>
          <w:i/>
          <w:iCs/>
          <w:kern w:val="0"/>
          <w:sz w:val="26"/>
          <w:szCs w:val="26"/>
          <w:highlight w:val="none"/>
        </w:rPr>
      </w:pPr>
    </w:p>
    <w:p>
      <w:pPr>
        <w:widowControl/>
        <w:spacing w:after="240" w:line="312" w:lineRule="auto"/>
        <w:jc w:val="left"/>
        <w:rPr>
          <w:rFonts w:ascii="仿宋" w:hAnsi="仿宋" w:eastAsia="仿宋" w:cs="仿宋"/>
          <w:i/>
          <w:iCs/>
          <w:kern w:val="0"/>
          <w:sz w:val="26"/>
          <w:szCs w:val="26"/>
          <w:highlight w:val="none"/>
        </w:rPr>
      </w:pPr>
    </w:p>
    <w:p>
      <w:pPr>
        <w:widowControl/>
        <w:spacing w:after="240" w:line="312" w:lineRule="auto"/>
        <w:jc w:val="left"/>
        <w:rPr>
          <w:rFonts w:ascii="仿宋" w:hAnsi="仿宋" w:eastAsia="仿宋" w:cs="仿宋"/>
          <w:i/>
          <w:iCs/>
          <w:kern w:val="0"/>
          <w:sz w:val="26"/>
          <w:szCs w:val="26"/>
          <w:highlight w:val="none"/>
        </w:rPr>
      </w:pPr>
    </w:p>
    <w:p>
      <w:pPr>
        <w:widowControl/>
        <w:spacing w:after="240" w:line="312" w:lineRule="auto"/>
        <w:ind w:firstLine="2210" w:firstLineChars="850"/>
        <w:jc w:val="left"/>
        <w:rPr>
          <w:rFonts w:ascii="仿宋" w:hAnsi="仿宋" w:eastAsia="仿宋" w:cs="仿宋"/>
          <w:i/>
          <w:iCs/>
          <w:kern w:val="0"/>
          <w:sz w:val="26"/>
          <w:szCs w:val="26"/>
          <w:highlight w:val="none"/>
        </w:rPr>
      </w:pPr>
      <w:r>
        <w:rPr>
          <w:rFonts w:hint="eastAsia" w:ascii="仿宋" w:hAnsi="仿宋" w:eastAsia="仿宋" w:cs="仿宋"/>
          <w:kern w:val="0"/>
          <w:sz w:val="26"/>
          <w:szCs w:val="26"/>
          <w:highlight w:val="none"/>
          <w:lang w:val="zh-CN"/>
        </w:rPr>
        <w:t>合同编号：</w:t>
      </w:r>
      <w:r>
        <w:rPr>
          <w:rFonts w:hint="eastAsia" w:ascii="仿宋" w:hAnsi="仿宋" w:eastAsia="仿宋" w:cs="仿宋"/>
          <w:kern w:val="0"/>
          <w:sz w:val="26"/>
          <w:szCs w:val="26"/>
          <w:highlight w:val="none"/>
        </w:rPr>
        <w:t xml:space="preserve"> </w:t>
      </w:r>
    </w:p>
    <w:p>
      <w:pPr>
        <w:widowControl/>
        <w:spacing w:after="240" w:line="312" w:lineRule="auto"/>
        <w:ind w:firstLine="2210" w:firstLineChars="850"/>
        <w:jc w:val="left"/>
        <w:rPr>
          <w:rFonts w:ascii="仿宋" w:hAnsi="仿宋" w:eastAsia="仿宋" w:cs="仿宋"/>
          <w:kern w:val="0"/>
          <w:sz w:val="26"/>
          <w:szCs w:val="26"/>
          <w:highlight w:val="none"/>
        </w:rPr>
      </w:pPr>
      <w:r>
        <w:rPr>
          <w:rFonts w:hint="eastAsia" w:ascii="仿宋" w:hAnsi="仿宋" w:eastAsia="仿宋" w:cs="仿宋"/>
          <w:kern w:val="0"/>
          <w:sz w:val="26"/>
          <w:szCs w:val="26"/>
          <w:highlight w:val="none"/>
          <w:lang w:val="zh-CN"/>
        </w:rPr>
        <w:t>签订时间：</w:t>
      </w:r>
      <w:r>
        <w:rPr>
          <w:rFonts w:hint="eastAsia" w:ascii="仿宋" w:hAnsi="仿宋" w:eastAsia="仿宋" w:cs="仿宋"/>
          <w:kern w:val="0"/>
          <w:sz w:val="26"/>
          <w:szCs w:val="26"/>
          <w:highlight w:val="none"/>
        </w:rPr>
        <w:t xml:space="preserve">  年  月  日</w:t>
      </w:r>
    </w:p>
    <w:p>
      <w:pPr>
        <w:widowControl/>
        <w:spacing w:after="240" w:line="312" w:lineRule="auto"/>
        <w:ind w:firstLine="2210" w:firstLineChars="850"/>
        <w:jc w:val="left"/>
        <w:rPr>
          <w:rFonts w:ascii="仿宋" w:hAnsi="仿宋" w:eastAsia="仿宋" w:cs="仿宋"/>
          <w:kern w:val="0"/>
          <w:sz w:val="26"/>
          <w:szCs w:val="26"/>
          <w:highlight w:val="none"/>
        </w:rPr>
      </w:pPr>
      <w:r>
        <w:rPr>
          <w:rFonts w:hint="eastAsia" w:ascii="仿宋" w:hAnsi="仿宋" w:eastAsia="仿宋" w:cs="仿宋"/>
          <w:kern w:val="0"/>
          <w:sz w:val="26"/>
          <w:szCs w:val="26"/>
          <w:highlight w:val="none"/>
        </w:rPr>
        <w:t>签订地点：四川省成都市锦江区</w:t>
      </w:r>
    </w:p>
    <w:p>
      <w:pPr>
        <w:widowControl/>
        <w:spacing w:line="360" w:lineRule="auto"/>
        <w:ind w:firstLine="420" w:firstLineChars="200"/>
        <w:jc w:val="left"/>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根据《中华人民共和国合同法》及水路货物运输相关法律法规，乙方以承运人身份与甲方（托运人）签订运输服务合同，收取运费并承担承运人的法律责任，然后委托实际承运人（船舶）完成运输服务。双方就各自责、权、利等相关事项，经友好协商，达成如下协议，以资共同遵守。</w:t>
      </w:r>
    </w:p>
    <w:p>
      <w:pPr>
        <w:widowControl/>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第一条 运输服务的内容和方式</w:t>
      </w:r>
    </w:p>
    <w:p>
      <w:pPr>
        <w:widowControl/>
        <w:tabs>
          <w:tab w:val="left" w:pos="993"/>
        </w:tabs>
        <w:spacing w:line="360" w:lineRule="auto"/>
        <w:ind w:left="538"/>
        <w:jc w:val="left"/>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1.运输服务内容</w:t>
      </w:r>
    </w:p>
    <w:p>
      <w:pPr>
        <w:widowControl/>
        <w:spacing w:line="360" w:lineRule="auto"/>
        <w:ind w:firstLine="420"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1</w:t>
      </w:r>
      <w:r>
        <w:rPr>
          <w:rFonts w:cs="仿宋" w:asciiTheme="minorEastAsia" w:hAnsiTheme="minorEastAsia" w:eastAsiaTheme="minorEastAsia"/>
          <w:kern w:val="0"/>
          <w:szCs w:val="21"/>
          <w:highlight w:val="none"/>
          <w:lang w:val="zh-CN"/>
        </w:rPr>
        <w:t>）货物的</w:t>
      </w:r>
      <w:r>
        <w:rPr>
          <w:rFonts w:cs="仿宋" w:asciiTheme="minorEastAsia" w:hAnsiTheme="minorEastAsia" w:eastAsiaTheme="minorEastAsia"/>
          <w:kern w:val="0"/>
          <w:szCs w:val="21"/>
          <w:highlight w:val="none"/>
        </w:rPr>
        <w:t>概况</w:t>
      </w:r>
      <w:r>
        <w:rPr>
          <w:rFonts w:cs="仿宋" w:asciiTheme="minorEastAsia" w:hAnsiTheme="minorEastAsia" w:eastAsiaTheme="minorEastAsia"/>
          <w:kern w:val="0"/>
          <w:szCs w:val="21"/>
          <w:highlight w:val="none"/>
          <w:lang w:val="zh-CN"/>
        </w:rPr>
        <w:t>和</w:t>
      </w:r>
      <w:r>
        <w:rPr>
          <w:rFonts w:cs="仿宋" w:asciiTheme="minorEastAsia" w:hAnsiTheme="minorEastAsia" w:eastAsiaTheme="minorEastAsia"/>
          <w:kern w:val="0"/>
          <w:szCs w:val="21"/>
          <w:highlight w:val="none"/>
        </w:rPr>
        <w:t>运输单价</w:t>
      </w:r>
      <w:r>
        <w:rPr>
          <w:rFonts w:cs="仿宋" w:asciiTheme="minorEastAsia" w:hAnsiTheme="minorEastAsia" w:eastAsiaTheme="minorEastAsia"/>
          <w:kern w:val="0"/>
          <w:szCs w:val="21"/>
          <w:highlight w:val="none"/>
          <w:lang w:val="zh-CN"/>
        </w:rPr>
        <w:t>：</w:t>
      </w:r>
    </w:p>
    <w:tbl>
      <w:tblPr>
        <w:tblStyle w:val="42"/>
        <w:tblpPr w:leftFromText="180" w:rightFromText="180" w:vertAnchor="text" w:horzAnchor="margin" w:tblpY="-23"/>
        <w:tblOverlap w:val="never"/>
        <w:tblW w:w="87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648"/>
        <w:gridCol w:w="660"/>
        <w:gridCol w:w="1704"/>
        <w:gridCol w:w="1775"/>
        <w:gridCol w:w="752"/>
        <w:gridCol w:w="669"/>
        <w:gridCol w:w="715"/>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997" w:type="dxa"/>
            <w:vMerge w:val="restart"/>
            <w:vAlign w:val="center"/>
          </w:tcPr>
          <w:p>
            <w:pPr>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品名/规格型号</w:t>
            </w:r>
          </w:p>
        </w:tc>
        <w:tc>
          <w:tcPr>
            <w:tcW w:w="648" w:type="dxa"/>
            <w:vMerge w:val="restart"/>
            <w:vAlign w:val="center"/>
          </w:tcPr>
          <w:p>
            <w:pPr>
              <w:spacing w:before="194" w:line="235" w:lineRule="auto"/>
              <w:ind w:right="62"/>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品牌商标</w:t>
            </w:r>
          </w:p>
        </w:tc>
        <w:tc>
          <w:tcPr>
            <w:tcW w:w="660" w:type="dxa"/>
            <w:vMerge w:val="restart"/>
            <w:vAlign w:val="center"/>
          </w:tcPr>
          <w:p>
            <w:pPr>
              <w:spacing w:before="194" w:line="235" w:lineRule="auto"/>
              <w:ind w:right="63"/>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包装方式</w:t>
            </w:r>
          </w:p>
        </w:tc>
        <w:tc>
          <w:tcPr>
            <w:tcW w:w="1704" w:type="dxa"/>
            <w:vMerge w:val="restart"/>
            <w:vAlign w:val="center"/>
          </w:tcPr>
          <w:p>
            <w:pPr>
              <w:spacing w:before="2"/>
              <w:jc w:val="center"/>
              <w:rPr>
                <w:rFonts w:cs="仿宋" w:asciiTheme="minorEastAsia" w:hAnsiTheme="minorEastAsia" w:eastAsiaTheme="minorEastAsia"/>
                <w:szCs w:val="21"/>
                <w:highlight w:val="none"/>
              </w:rPr>
            </w:pPr>
          </w:p>
          <w:p>
            <w:pPr>
              <w:spacing w:before="2"/>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发货地址</w:t>
            </w:r>
          </w:p>
        </w:tc>
        <w:tc>
          <w:tcPr>
            <w:tcW w:w="1775" w:type="dxa"/>
            <w:vMerge w:val="restart"/>
            <w:vAlign w:val="center"/>
          </w:tcPr>
          <w:p>
            <w:pPr>
              <w:jc w:val="center"/>
              <w:rPr>
                <w:rFonts w:cs="仿宋" w:asciiTheme="minorEastAsia" w:hAnsiTheme="minorEastAsia" w:eastAsiaTheme="minorEastAsia"/>
                <w:szCs w:val="21"/>
                <w:highlight w:val="none"/>
              </w:rPr>
            </w:pPr>
          </w:p>
          <w:p>
            <w:pPr>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收货地址</w:t>
            </w:r>
          </w:p>
        </w:tc>
        <w:tc>
          <w:tcPr>
            <w:tcW w:w="2955" w:type="dxa"/>
            <w:gridSpan w:val="4"/>
            <w:vAlign w:val="center"/>
          </w:tcPr>
          <w:p>
            <w:pPr>
              <w:spacing w:before="77"/>
              <w:ind w:left="609"/>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运费（元/吨）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997" w:type="dxa"/>
            <w:vMerge w:val="continue"/>
            <w:tcBorders>
              <w:top w:val="nil"/>
            </w:tcBorders>
            <w:vAlign w:val="center"/>
          </w:tcPr>
          <w:p>
            <w:pPr>
              <w:jc w:val="center"/>
              <w:rPr>
                <w:rFonts w:cs="仿宋" w:asciiTheme="minorEastAsia" w:hAnsiTheme="minorEastAsia" w:eastAsiaTheme="minorEastAsia"/>
                <w:szCs w:val="21"/>
                <w:highlight w:val="none"/>
              </w:rPr>
            </w:pPr>
          </w:p>
        </w:tc>
        <w:tc>
          <w:tcPr>
            <w:tcW w:w="648" w:type="dxa"/>
            <w:vMerge w:val="continue"/>
            <w:tcBorders>
              <w:top w:val="nil"/>
            </w:tcBorders>
            <w:vAlign w:val="center"/>
          </w:tcPr>
          <w:p>
            <w:pPr>
              <w:jc w:val="center"/>
              <w:rPr>
                <w:rFonts w:cs="仿宋" w:asciiTheme="minorEastAsia" w:hAnsiTheme="minorEastAsia" w:eastAsiaTheme="minorEastAsia"/>
                <w:szCs w:val="21"/>
                <w:highlight w:val="none"/>
              </w:rPr>
            </w:pPr>
          </w:p>
        </w:tc>
        <w:tc>
          <w:tcPr>
            <w:tcW w:w="660" w:type="dxa"/>
            <w:vMerge w:val="continue"/>
            <w:tcBorders>
              <w:top w:val="nil"/>
            </w:tcBorders>
            <w:vAlign w:val="center"/>
          </w:tcPr>
          <w:p>
            <w:pPr>
              <w:jc w:val="center"/>
              <w:rPr>
                <w:rFonts w:cs="仿宋" w:asciiTheme="minorEastAsia" w:hAnsiTheme="minorEastAsia" w:eastAsiaTheme="minorEastAsia"/>
                <w:szCs w:val="21"/>
                <w:highlight w:val="none"/>
              </w:rPr>
            </w:pPr>
          </w:p>
        </w:tc>
        <w:tc>
          <w:tcPr>
            <w:tcW w:w="1704" w:type="dxa"/>
            <w:vMerge w:val="continue"/>
            <w:vAlign w:val="center"/>
          </w:tcPr>
          <w:p>
            <w:pPr>
              <w:jc w:val="center"/>
              <w:rPr>
                <w:rFonts w:cs="仿宋" w:asciiTheme="minorEastAsia" w:hAnsiTheme="minorEastAsia" w:eastAsiaTheme="minorEastAsia"/>
                <w:szCs w:val="21"/>
                <w:highlight w:val="none"/>
              </w:rPr>
            </w:pPr>
          </w:p>
        </w:tc>
        <w:tc>
          <w:tcPr>
            <w:tcW w:w="1775" w:type="dxa"/>
            <w:vMerge w:val="continue"/>
            <w:tcBorders>
              <w:top w:val="nil"/>
            </w:tcBorders>
            <w:vAlign w:val="center"/>
          </w:tcPr>
          <w:p>
            <w:pPr>
              <w:jc w:val="center"/>
              <w:rPr>
                <w:rFonts w:cs="仿宋" w:asciiTheme="minorEastAsia" w:hAnsiTheme="minorEastAsia" w:eastAsiaTheme="minorEastAsia"/>
                <w:szCs w:val="21"/>
                <w:highlight w:val="none"/>
              </w:rPr>
            </w:pPr>
          </w:p>
        </w:tc>
        <w:tc>
          <w:tcPr>
            <w:tcW w:w="752" w:type="dxa"/>
            <w:vAlign w:val="center"/>
          </w:tcPr>
          <w:p>
            <w:pPr>
              <w:spacing w:before="153"/>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不含税运费</w:t>
            </w:r>
          </w:p>
        </w:tc>
        <w:tc>
          <w:tcPr>
            <w:tcW w:w="669" w:type="dxa"/>
            <w:vAlign w:val="center"/>
          </w:tcPr>
          <w:p>
            <w:pPr>
              <w:spacing w:before="153"/>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税率</w:t>
            </w:r>
          </w:p>
        </w:tc>
        <w:tc>
          <w:tcPr>
            <w:tcW w:w="715" w:type="dxa"/>
            <w:vAlign w:val="center"/>
          </w:tcPr>
          <w:p>
            <w:pPr>
              <w:spacing w:before="153"/>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增值税</w:t>
            </w:r>
          </w:p>
        </w:tc>
        <w:tc>
          <w:tcPr>
            <w:tcW w:w="819" w:type="dxa"/>
            <w:vAlign w:val="center"/>
          </w:tcPr>
          <w:p>
            <w:pPr>
              <w:spacing w:before="3" w:line="280" w:lineRule="atLeast"/>
              <w:ind w:right="56"/>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价税合计运费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997" w:type="dxa"/>
            <w:vAlign w:val="center"/>
          </w:tcPr>
          <w:p>
            <w:pPr>
              <w:jc w:val="center"/>
              <w:rPr>
                <w:rFonts w:cs="仿宋" w:asciiTheme="minorEastAsia" w:hAnsiTheme="minorEastAsia" w:eastAsiaTheme="minorEastAsia"/>
                <w:szCs w:val="21"/>
                <w:highlight w:val="none"/>
              </w:rPr>
            </w:pPr>
          </w:p>
        </w:tc>
        <w:tc>
          <w:tcPr>
            <w:tcW w:w="648" w:type="dxa"/>
            <w:vAlign w:val="center"/>
          </w:tcPr>
          <w:p>
            <w:pPr>
              <w:jc w:val="center"/>
              <w:rPr>
                <w:rFonts w:cs="仿宋" w:asciiTheme="minorEastAsia" w:hAnsiTheme="minorEastAsia" w:eastAsiaTheme="minorEastAsia"/>
                <w:szCs w:val="21"/>
                <w:highlight w:val="none"/>
              </w:rPr>
            </w:pPr>
          </w:p>
        </w:tc>
        <w:tc>
          <w:tcPr>
            <w:tcW w:w="660" w:type="dxa"/>
            <w:vAlign w:val="center"/>
          </w:tcPr>
          <w:p>
            <w:pPr>
              <w:tabs>
                <w:tab w:val="left" w:pos="453"/>
              </w:tabs>
              <w:jc w:val="center"/>
              <w:rPr>
                <w:rFonts w:cs="仿宋" w:asciiTheme="minorEastAsia" w:hAnsiTheme="minorEastAsia" w:eastAsiaTheme="minorEastAsia"/>
                <w:szCs w:val="21"/>
                <w:highlight w:val="none"/>
              </w:rPr>
            </w:pPr>
          </w:p>
        </w:tc>
        <w:tc>
          <w:tcPr>
            <w:tcW w:w="1704" w:type="dxa"/>
            <w:vAlign w:val="center"/>
          </w:tcPr>
          <w:p>
            <w:pPr>
              <w:jc w:val="center"/>
              <w:rPr>
                <w:rFonts w:cs="仿宋" w:asciiTheme="minorEastAsia" w:hAnsiTheme="minorEastAsia" w:eastAsiaTheme="minorEastAsia"/>
                <w:szCs w:val="21"/>
                <w:highlight w:val="none"/>
              </w:rPr>
            </w:pPr>
          </w:p>
        </w:tc>
        <w:tc>
          <w:tcPr>
            <w:tcW w:w="1775" w:type="dxa"/>
            <w:vAlign w:val="center"/>
          </w:tcPr>
          <w:p>
            <w:pPr>
              <w:jc w:val="center"/>
              <w:rPr>
                <w:rFonts w:cs="仿宋" w:asciiTheme="minorEastAsia" w:hAnsiTheme="minorEastAsia" w:eastAsiaTheme="minorEastAsia"/>
                <w:szCs w:val="21"/>
                <w:highlight w:val="none"/>
              </w:rPr>
            </w:pPr>
          </w:p>
        </w:tc>
        <w:tc>
          <w:tcPr>
            <w:tcW w:w="752" w:type="dxa"/>
            <w:vAlign w:val="center"/>
          </w:tcPr>
          <w:p>
            <w:pPr>
              <w:jc w:val="center"/>
              <w:rPr>
                <w:rFonts w:cs="仿宋" w:asciiTheme="minorEastAsia" w:hAnsiTheme="minorEastAsia" w:eastAsiaTheme="minorEastAsia"/>
                <w:szCs w:val="21"/>
                <w:highlight w:val="none"/>
              </w:rPr>
            </w:pPr>
          </w:p>
        </w:tc>
        <w:tc>
          <w:tcPr>
            <w:tcW w:w="669" w:type="dxa"/>
            <w:vAlign w:val="center"/>
          </w:tcPr>
          <w:p>
            <w:pPr>
              <w:jc w:val="center"/>
              <w:rPr>
                <w:rFonts w:cs="仿宋" w:asciiTheme="minorEastAsia" w:hAnsiTheme="minorEastAsia" w:eastAsiaTheme="minorEastAsia"/>
                <w:szCs w:val="21"/>
                <w:highlight w:val="none"/>
              </w:rPr>
            </w:pPr>
          </w:p>
        </w:tc>
        <w:tc>
          <w:tcPr>
            <w:tcW w:w="715" w:type="dxa"/>
            <w:vAlign w:val="center"/>
          </w:tcPr>
          <w:p>
            <w:pPr>
              <w:jc w:val="center"/>
              <w:rPr>
                <w:rFonts w:cs="仿宋" w:asciiTheme="minorEastAsia" w:hAnsiTheme="minorEastAsia" w:eastAsiaTheme="minorEastAsia"/>
                <w:szCs w:val="21"/>
                <w:highlight w:val="none"/>
              </w:rPr>
            </w:pPr>
          </w:p>
        </w:tc>
        <w:tc>
          <w:tcPr>
            <w:tcW w:w="819" w:type="dxa"/>
            <w:vAlign w:val="center"/>
          </w:tcPr>
          <w:p>
            <w:pPr>
              <w:tabs>
                <w:tab w:val="left" w:pos="403"/>
              </w:tabs>
              <w:jc w:val="center"/>
              <w:rPr>
                <w:rFonts w:cs="仿宋"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997" w:type="dxa"/>
            <w:vAlign w:val="center"/>
          </w:tcPr>
          <w:p>
            <w:pPr>
              <w:jc w:val="center"/>
              <w:rPr>
                <w:rFonts w:cs="仿宋" w:asciiTheme="minorEastAsia" w:hAnsiTheme="minorEastAsia" w:eastAsiaTheme="minorEastAsia"/>
                <w:szCs w:val="21"/>
                <w:highlight w:val="none"/>
              </w:rPr>
            </w:pPr>
          </w:p>
        </w:tc>
        <w:tc>
          <w:tcPr>
            <w:tcW w:w="648" w:type="dxa"/>
            <w:vAlign w:val="center"/>
          </w:tcPr>
          <w:p>
            <w:pPr>
              <w:jc w:val="center"/>
              <w:rPr>
                <w:rFonts w:cs="仿宋" w:asciiTheme="minorEastAsia" w:hAnsiTheme="minorEastAsia" w:eastAsiaTheme="minorEastAsia"/>
                <w:szCs w:val="21"/>
                <w:highlight w:val="none"/>
              </w:rPr>
            </w:pPr>
          </w:p>
        </w:tc>
        <w:tc>
          <w:tcPr>
            <w:tcW w:w="660" w:type="dxa"/>
            <w:vAlign w:val="center"/>
          </w:tcPr>
          <w:p>
            <w:pPr>
              <w:tabs>
                <w:tab w:val="left" w:pos="453"/>
              </w:tabs>
              <w:jc w:val="center"/>
              <w:rPr>
                <w:rFonts w:cs="仿宋" w:asciiTheme="minorEastAsia" w:hAnsiTheme="minorEastAsia" w:eastAsiaTheme="minorEastAsia"/>
                <w:szCs w:val="21"/>
                <w:highlight w:val="none"/>
              </w:rPr>
            </w:pPr>
          </w:p>
        </w:tc>
        <w:tc>
          <w:tcPr>
            <w:tcW w:w="1704" w:type="dxa"/>
            <w:vAlign w:val="center"/>
          </w:tcPr>
          <w:p>
            <w:pPr>
              <w:jc w:val="center"/>
              <w:rPr>
                <w:rFonts w:cs="仿宋" w:asciiTheme="minorEastAsia" w:hAnsiTheme="minorEastAsia" w:eastAsiaTheme="minorEastAsia"/>
                <w:szCs w:val="21"/>
                <w:highlight w:val="none"/>
              </w:rPr>
            </w:pPr>
          </w:p>
        </w:tc>
        <w:tc>
          <w:tcPr>
            <w:tcW w:w="1775" w:type="dxa"/>
            <w:vAlign w:val="center"/>
          </w:tcPr>
          <w:p>
            <w:pPr>
              <w:jc w:val="center"/>
              <w:rPr>
                <w:rFonts w:cs="仿宋" w:asciiTheme="minorEastAsia" w:hAnsiTheme="minorEastAsia" w:eastAsiaTheme="minorEastAsia"/>
                <w:szCs w:val="21"/>
                <w:highlight w:val="none"/>
              </w:rPr>
            </w:pPr>
          </w:p>
        </w:tc>
        <w:tc>
          <w:tcPr>
            <w:tcW w:w="752" w:type="dxa"/>
            <w:vAlign w:val="center"/>
          </w:tcPr>
          <w:p>
            <w:pPr>
              <w:jc w:val="center"/>
              <w:rPr>
                <w:rFonts w:cs="仿宋" w:asciiTheme="minorEastAsia" w:hAnsiTheme="minorEastAsia" w:eastAsiaTheme="minorEastAsia"/>
                <w:szCs w:val="21"/>
                <w:highlight w:val="none"/>
              </w:rPr>
            </w:pPr>
          </w:p>
        </w:tc>
        <w:tc>
          <w:tcPr>
            <w:tcW w:w="669" w:type="dxa"/>
            <w:vAlign w:val="center"/>
          </w:tcPr>
          <w:p>
            <w:pPr>
              <w:jc w:val="center"/>
              <w:rPr>
                <w:rFonts w:cs="仿宋" w:asciiTheme="minorEastAsia" w:hAnsiTheme="minorEastAsia" w:eastAsiaTheme="minorEastAsia"/>
                <w:szCs w:val="21"/>
                <w:highlight w:val="none"/>
              </w:rPr>
            </w:pPr>
          </w:p>
        </w:tc>
        <w:tc>
          <w:tcPr>
            <w:tcW w:w="715" w:type="dxa"/>
            <w:vAlign w:val="center"/>
          </w:tcPr>
          <w:p>
            <w:pPr>
              <w:jc w:val="center"/>
              <w:rPr>
                <w:rFonts w:cs="仿宋" w:asciiTheme="minorEastAsia" w:hAnsiTheme="minorEastAsia" w:eastAsiaTheme="minorEastAsia"/>
                <w:szCs w:val="21"/>
                <w:highlight w:val="none"/>
              </w:rPr>
            </w:pPr>
          </w:p>
        </w:tc>
        <w:tc>
          <w:tcPr>
            <w:tcW w:w="819" w:type="dxa"/>
            <w:vAlign w:val="center"/>
          </w:tcPr>
          <w:p>
            <w:pPr>
              <w:tabs>
                <w:tab w:val="left" w:pos="403"/>
              </w:tabs>
              <w:jc w:val="center"/>
              <w:rPr>
                <w:rFonts w:cs="仿宋"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997" w:type="dxa"/>
            <w:vAlign w:val="center"/>
          </w:tcPr>
          <w:p>
            <w:pPr>
              <w:jc w:val="center"/>
              <w:rPr>
                <w:rFonts w:cs="仿宋" w:asciiTheme="minorEastAsia" w:hAnsiTheme="minorEastAsia" w:eastAsiaTheme="minorEastAsia"/>
                <w:szCs w:val="21"/>
                <w:highlight w:val="none"/>
              </w:rPr>
            </w:pPr>
          </w:p>
        </w:tc>
        <w:tc>
          <w:tcPr>
            <w:tcW w:w="648" w:type="dxa"/>
            <w:vAlign w:val="center"/>
          </w:tcPr>
          <w:p>
            <w:pPr>
              <w:jc w:val="center"/>
              <w:rPr>
                <w:rFonts w:cs="仿宋" w:asciiTheme="minorEastAsia" w:hAnsiTheme="minorEastAsia" w:eastAsiaTheme="minorEastAsia"/>
                <w:szCs w:val="21"/>
                <w:highlight w:val="none"/>
              </w:rPr>
            </w:pPr>
          </w:p>
        </w:tc>
        <w:tc>
          <w:tcPr>
            <w:tcW w:w="660" w:type="dxa"/>
            <w:vAlign w:val="center"/>
          </w:tcPr>
          <w:p>
            <w:pPr>
              <w:tabs>
                <w:tab w:val="left" w:pos="453"/>
              </w:tabs>
              <w:jc w:val="center"/>
              <w:rPr>
                <w:rFonts w:cs="仿宋" w:asciiTheme="minorEastAsia" w:hAnsiTheme="minorEastAsia" w:eastAsiaTheme="minorEastAsia"/>
                <w:szCs w:val="21"/>
                <w:highlight w:val="none"/>
              </w:rPr>
            </w:pPr>
          </w:p>
        </w:tc>
        <w:tc>
          <w:tcPr>
            <w:tcW w:w="1704" w:type="dxa"/>
            <w:vAlign w:val="center"/>
          </w:tcPr>
          <w:p>
            <w:pPr>
              <w:jc w:val="center"/>
              <w:rPr>
                <w:rFonts w:cs="仿宋" w:asciiTheme="minorEastAsia" w:hAnsiTheme="minorEastAsia" w:eastAsiaTheme="minorEastAsia"/>
                <w:szCs w:val="21"/>
                <w:highlight w:val="none"/>
              </w:rPr>
            </w:pPr>
          </w:p>
        </w:tc>
        <w:tc>
          <w:tcPr>
            <w:tcW w:w="1775" w:type="dxa"/>
            <w:vAlign w:val="center"/>
          </w:tcPr>
          <w:p>
            <w:pPr>
              <w:jc w:val="center"/>
              <w:rPr>
                <w:rFonts w:cs="仿宋" w:asciiTheme="minorEastAsia" w:hAnsiTheme="minorEastAsia" w:eastAsiaTheme="minorEastAsia"/>
                <w:szCs w:val="21"/>
                <w:highlight w:val="none"/>
              </w:rPr>
            </w:pPr>
          </w:p>
        </w:tc>
        <w:tc>
          <w:tcPr>
            <w:tcW w:w="752" w:type="dxa"/>
            <w:vAlign w:val="center"/>
          </w:tcPr>
          <w:p>
            <w:pPr>
              <w:jc w:val="center"/>
              <w:rPr>
                <w:rFonts w:cs="仿宋" w:asciiTheme="minorEastAsia" w:hAnsiTheme="minorEastAsia" w:eastAsiaTheme="minorEastAsia"/>
                <w:szCs w:val="21"/>
                <w:highlight w:val="none"/>
              </w:rPr>
            </w:pPr>
          </w:p>
        </w:tc>
        <w:tc>
          <w:tcPr>
            <w:tcW w:w="669" w:type="dxa"/>
            <w:vAlign w:val="center"/>
          </w:tcPr>
          <w:p>
            <w:pPr>
              <w:jc w:val="center"/>
              <w:rPr>
                <w:rFonts w:cs="仿宋" w:asciiTheme="minorEastAsia" w:hAnsiTheme="minorEastAsia" w:eastAsiaTheme="minorEastAsia"/>
                <w:szCs w:val="21"/>
                <w:highlight w:val="none"/>
              </w:rPr>
            </w:pPr>
          </w:p>
        </w:tc>
        <w:tc>
          <w:tcPr>
            <w:tcW w:w="715" w:type="dxa"/>
            <w:vAlign w:val="center"/>
          </w:tcPr>
          <w:p>
            <w:pPr>
              <w:jc w:val="center"/>
              <w:rPr>
                <w:rFonts w:cs="仿宋" w:asciiTheme="minorEastAsia" w:hAnsiTheme="minorEastAsia" w:eastAsiaTheme="minorEastAsia"/>
                <w:szCs w:val="21"/>
                <w:highlight w:val="none"/>
              </w:rPr>
            </w:pPr>
          </w:p>
        </w:tc>
        <w:tc>
          <w:tcPr>
            <w:tcW w:w="819" w:type="dxa"/>
            <w:vAlign w:val="center"/>
          </w:tcPr>
          <w:p>
            <w:pPr>
              <w:tabs>
                <w:tab w:val="left" w:pos="403"/>
              </w:tabs>
              <w:jc w:val="center"/>
              <w:rPr>
                <w:rFonts w:cs="仿宋" w:asciiTheme="minorEastAsia" w:hAnsiTheme="minorEastAsia" w:eastAsiaTheme="minorEastAsia"/>
                <w:szCs w:val="21"/>
                <w:highlight w:val="none"/>
              </w:rPr>
            </w:pPr>
          </w:p>
        </w:tc>
      </w:tr>
    </w:tbl>
    <w:p>
      <w:pPr>
        <w:widowControl/>
        <w:spacing w:line="360" w:lineRule="auto"/>
        <w:jc w:val="left"/>
        <w:rPr>
          <w:rFonts w:cs="仿宋" w:asciiTheme="minorEastAsia" w:hAnsiTheme="minorEastAsia" w:eastAsiaTheme="minorEastAsia"/>
          <w:kern w:val="0"/>
          <w:szCs w:val="21"/>
          <w:highlight w:val="none"/>
        </w:rPr>
      </w:pPr>
    </w:p>
    <w:p>
      <w:pPr>
        <w:widowControl/>
        <w:spacing w:line="360" w:lineRule="auto"/>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说明：</w:t>
      </w:r>
    </w:p>
    <w:p>
      <w:pPr>
        <w:widowControl/>
        <w:spacing w:line="360" w:lineRule="auto"/>
        <w:ind w:firstLine="6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fldChar w:fldCharType="begin"/>
      </w:r>
      <w:r>
        <w:rPr>
          <w:rFonts w:cs="仿宋" w:asciiTheme="minorEastAsia" w:hAnsiTheme="minorEastAsia" w:eastAsiaTheme="minorEastAsia"/>
          <w:kern w:val="0"/>
          <w:szCs w:val="21"/>
          <w:highlight w:val="none"/>
        </w:rPr>
        <w:instrText xml:space="preserve"> = 1 \* GB3 </w:instrText>
      </w:r>
      <w:r>
        <w:rPr>
          <w:rFonts w:cs="仿宋" w:asciiTheme="minorEastAsia" w:hAnsiTheme="minorEastAsia" w:eastAsiaTheme="minorEastAsia"/>
          <w:kern w:val="0"/>
          <w:szCs w:val="21"/>
          <w:highlight w:val="none"/>
        </w:rPr>
        <w:fldChar w:fldCharType="separate"/>
      </w:r>
      <w:r>
        <w:rPr>
          <w:rFonts w:cs="仿宋" w:asciiTheme="minorEastAsia" w:hAnsiTheme="minorEastAsia" w:eastAsiaTheme="minorEastAsia"/>
          <w:kern w:val="0"/>
          <w:szCs w:val="21"/>
          <w:highlight w:val="none"/>
        </w:rPr>
        <w:t>①</w:t>
      </w:r>
      <w:r>
        <w:rPr>
          <w:rFonts w:cs="仿宋" w:asciiTheme="minorEastAsia" w:hAnsiTheme="minorEastAsia" w:eastAsiaTheme="minorEastAsia"/>
          <w:kern w:val="0"/>
          <w:szCs w:val="21"/>
          <w:highlight w:val="none"/>
        </w:rPr>
        <w:fldChar w:fldCharType="end"/>
      </w:r>
      <w:r>
        <w:rPr>
          <w:rFonts w:cs="仿宋" w:asciiTheme="minorEastAsia" w:hAnsiTheme="minorEastAsia" w:eastAsiaTheme="minorEastAsia"/>
          <w:kern w:val="0"/>
          <w:szCs w:val="21"/>
          <w:highlight w:val="none"/>
        </w:rPr>
        <w:t>表中价税合计运费为货物运到甲方指定收货地址现场的费用，包括：</w:t>
      </w:r>
      <w:bookmarkStart w:id="504" w:name="_Hlk57902053"/>
      <w:r>
        <w:rPr>
          <w:rFonts w:cs="仿宋" w:asciiTheme="minorEastAsia" w:hAnsiTheme="minorEastAsia" w:eastAsiaTheme="minorEastAsia"/>
          <w:kern w:val="0"/>
          <w:szCs w:val="21"/>
          <w:highlight w:val="none"/>
        </w:rPr>
        <w:t>人工费、淡水、燃滑油料、港口建设费、船舶签证费、稳性计算、绑扎方案及9%税票费用，运杂费、装卸费</w:t>
      </w:r>
      <w:bookmarkStart w:id="505" w:name="_Hlk57893031"/>
      <w:r>
        <w:rPr>
          <w:rFonts w:cs="仿宋" w:asciiTheme="minorEastAsia" w:hAnsiTheme="minorEastAsia" w:eastAsiaTheme="minorEastAsia"/>
          <w:kern w:val="0"/>
          <w:szCs w:val="21"/>
          <w:highlight w:val="none"/>
        </w:rPr>
        <w:t>（如有，不含运输起点及运输终点）</w:t>
      </w:r>
      <w:bookmarkEnd w:id="505"/>
      <w:r>
        <w:rPr>
          <w:rFonts w:cs="仿宋" w:asciiTheme="minorEastAsia" w:hAnsiTheme="minorEastAsia" w:eastAsiaTheme="minorEastAsia"/>
          <w:kern w:val="0"/>
          <w:szCs w:val="21"/>
          <w:highlight w:val="none"/>
        </w:rPr>
        <w:t>、提升费（如有）、</w:t>
      </w:r>
      <w:bookmarkStart w:id="506" w:name="_Hlk57893059"/>
      <w:r>
        <w:rPr>
          <w:rFonts w:cs="仿宋" w:asciiTheme="minorEastAsia" w:hAnsiTheme="minorEastAsia" w:eastAsiaTheme="minorEastAsia"/>
          <w:kern w:val="0"/>
          <w:szCs w:val="21"/>
          <w:highlight w:val="none"/>
        </w:rPr>
        <w:t>翻坝转运（如有）、</w:t>
      </w:r>
      <w:bookmarkEnd w:id="506"/>
      <w:r>
        <w:rPr>
          <w:rFonts w:cs="仿宋" w:asciiTheme="minorEastAsia" w:hAnsiTheme="minorEastAsia" w:eastAsiaTheme="minorEastAsia"/>
          <w:kern w:val="0"/>
          <w:szCs w:val="21"/>
          <w:highlight w:val="none"/>
        </w:rPr>
        <w:t>保险费、货物险、管理费、票据贴息费、利润及其他费用等一切费用，即到达甲方指定地点的含税的综合单价。货物险</w:t>
      </w:r>
      <w:r>
        <w:rPr>
          <w:rFonts w:cs="仿宋" w:asciiTheme="minorEastAsia" w:hAnsiTheme="minorEastAsia" w:eastAsiaTheme="minorEastAsia"/>
          <w:b/>
          <w:kern w:val="0"/>
          <w:szCs w:val="21"/>
          <w:highlight w:val="none"/>
        </w:rPr>
        <w:t>费用由承运商承担，采购人不承担，受益人为采购人。</w:t>
      </w:r>
      <w:bookmarkEnd w:id="504"/>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②</w:t>
      </w:r>
      <w:bookmarkStart w:id="507" w:name="_Hlk57893275"/>
      <w:r>
        <w:rPr>
          <w:rFonts w:cs="仿宋" w:asciiTheme="minorEastAsia" w:hAnsiTheme="minorEastAsia" w:eastAsiaTheme="minorEastAsia"/>
          <w:kern w:val="0"/>
          <w:szCs w:val="21"/>
          <w:highlight w:val="none"/>
        </w:rPr>
        <w:t>含税运费单价为固定价格，承运人应考虑承运期间内当市场发生变化对价格的影响，采购人对此不做调整；若因国家政策调整等因素，导致价格发生变化，双方可签订补充协议予以约定。</w:t>
      </w:r>
      <w:bookmarkEnd w:id="507"/>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③</w:t>
      </w:r>
      <w:r>
        <w:rPr>
          <w:rFonts w:hint="eastAsia" w:cs="仿宋" w:asciiTheme="minorEastAsia" w:hAnsiTheme="minorEastAsia" w:eastAsiaTheme="minorEastAsia"/>
          <w:kern w:val="0"/>
          <w:szCs w:val="21"/>
          <w:highlight w:val="none"/>
        </w:rPr>
        <w:t>预计</w:t>
      </w:r>
      <w:r>
        <w:rPr>
          <w:rFonts w:cs="仿宋" w:asciiTheme="minorEastAsia" w:hAnsiTheme="minorEastAsia" w:eastAsiaTheme="minorEastAsia"/>
          <w:kern w:val="0"/>
          <w:szCs w:val="21"/>
          <w:highlight w:val="none"/>
        </w:rPr>
        <w:t>运量</w:t>
      </w:r>
      <w:r>
        <w:rPr>
          <w:rFonts w:cs="仿宋" w:asciiTheme="minorEastAsia" w:hAnsiTheme="minorEastAsia" w:eastAsiaTheme="minorEastAsia"/>
          <w:kern w:val="0"/>
          <w:szCs w:val="21"/>
          <w:highlight w:val="none"/>
          <w:u w:val="single"/>
        </w:rPr>
        <w:t xml:space="preserve"> 50</w:t>
      </w:r>
      <w:r>
        <w:rPr>
          <w:rFonts w:hint="eastAsia" w:cs="仿宋" w:asciiTheme="minorEastAsia" w:hAnsiTheme="minorEastAsia" w:eastAsiaTheme="minorEastAsia"/>
          <w:kern w:val="0"/>
          <w:szCs w:val="21"/>
          <w:highlight w:val="none"/>
          <w:u w:val="single"/>
        </w:rPr>
        <w:t>万</w:t>
      </w:r>
      <w:r>
        <w:rPr>
          <w:rFonts w:cs="仿宋" w:asciiTheme="minorEastAsia" w:hAnsiTheme="minorEastAsia" w:eastAsiaTheme="minorEastAsia"/>
          <w:kern w:val="0"/>
          <w:szCs w:val="21"/>
          <w:highlight w:val="none"/>
          <w:u w:val="single"/>
        </w:rPr>
        <w:t xml:space="preserve">  </w:t>
      </w:r>
      <w:r>
        <w:rPr>
          <w:rFonts w:cs="仿宋" w:asciiTheme="minorEastAsia" w:hAnsiTheme="minorEastAsia" w:eastAsiaTheme="minorEastAsia"/>
          <w:kern w:val="0"/>
          <w:szCs w:val="21"/>
          <w:highlight w:val="none"/>
        </w:rPr>
        <w:t>吨，具体运量根据甲方要求及实际承运调节。</w:t>
      </w:r>
    </w:p>
    <w:p>
      <w:pPr>
        <w:widowControl/>
        <w:spacing w:line="360" w:lineRule="auto"/>
        <w:ind w:firstLine="420" w:firstLineChars="200"/>
        <w:rPr>
          <w:rFonts w:cs="仿宋" w:asciiTheme="minorEastAsia" w:hAnsiTheme="minorEastAsia" w:eastAsiaTheme="minorEastAsia"/>
          <w:kern w:val="0"/>
          <w:szCs w:val="21"/>
          <w:highlight w:val="none"/>
        </w:rPr>
      </w:pPr>
      <w:r>
        <w:rPr>
          <w:rFonts w:cs="微软雅黑" w:asciiTheme="minorEastAsia" w:hAnsiTheme="minorEastAsia" w:eastAsiaTheme="minorEastAsia"/>
          <w:kern w:val="0"/>
          <w:szCs w:val="21"/>
          <w:highlight w:val="none"/>
        </w:rPr>
        <w:t>④</w:t>
      </w:r>
      <w:r>
        <w:rPr>
          <w:rFonts w:cs="仿宋" w:asciiTheme="minorEastAsia" w:hAnsiTheme="minorEastAsia" w:eastAsiaTheme="minorEastAsia"/>
          <w:kern w:val="0"/>
          <w:szCs w:val="21"/>
          <w:highlight w:val="none"/>
        </w:rPr>
        <w:t>本合同数量为预估数量，不作为最终结算依据。甲方有权根据项目实际需求进行数量调整，且定价方式不变，乙方接受；最终结算数量以乙方按照甲方要求实际运送的货物数量为准。</w:t>
      </w:r>
    </w:p>
    <w:p>
      <w:pPr>
        <w:widowControl/>
        <w:spacing w:line="360" w:lineRule="auto"/>
        <w:ind w:firstLine="420" w:firstLineChars="200"/>
        <w:rPr>
          <w:rFonts w:cs="仿宋" w:asciiTheme="minorEastAsia" w:hAnsiTheme="minorEastAsia" w:eastAsiaTheme="minorEastAsia"/>
          <w:kern w:val="0"/>
          <w:szCs w:val="21"/>
          <w:highlight w:val="none"/>
        </w:rPr>
      </w:pPr>
      <w:r>
        <w:rPr>
          <w:rFonts w:cs="微软雅黑" w:asciiTheme="minorEastAsia" w:hAnsiTheme="minorEastAsia" w:eastAsiaTheme="minorEastAsia"/>
          <w:kern w:val="0"/>
          <w:szCs w:val="21"/>
          <w:highlight w:val="none"/>
        </w:rPr>
        <w:t>⑤</w:t>
      </w:r>
      <w:r>
        <w:rPr>
          <w:rFonts w:cs="仿宋" w:asciiTheme="minorEastAsia" w:hAnsiTheme="minorEastAsia" w:eastAsiaTheme="minorEastAsia"/>
          <w:kern w:val="0"/>
          <w:szCs w:val="21"/>
          <w:highlight w:val="none"/>
        </w:rPr>
        <w:t>本合同数量为预估数量，不是甲方承诺的运量，以实际承运数量为准，甲方不承担责任。</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fldChar w:fldCharType="begin"/>
      </w:r>
      <w:r>
        <w:rPr>
          <w:rFonts w:cs="仿宋" w:asciiTheme="minorEastAsia" w:hAnsiTheme="minorEastAsia" w:eastAsiaTheme="minorEastAsia"/>
          <w:kern w:val="0"/>
          <w:szCs w:val="21"/>
          <w:highlight w:val="none"/>
        </w:rPr>
        <w:instrText xml:space="preserve"> = 6 \* GB3 </w:instrText>
      </w:r>
      <w:r>
        <w:rPr>
          <w:rFonts w:cs="仿宋" w:asciiTheme="minorEastAsia" w:hAnsiTheme="minorEastAsia" w:eastAsiaTheme="minorEastAsia"/>
          <w:kern w:val="0"/>
          <w:szCs w:val="21"/>
          <w:highlight w:val="none"/>
        </w:rPr>
        <w:fldChar w:fldCharType="separate"/>
      </w:r>
      <w:r>
        <w:rPr>
          <w:rFonts w:cs="仿宋" w:asciiTheme="minorEastAsia" w:hAnsiTheme="minorEastAsia" w:eastAsiaTheme="minorEastAsia"/>
          <w:kern w:val="0"/>
          <w:szCs w:val="21"/>
          <w:highlight w:val="none"/>
        </w:rPr>
        <w:t>⑥</w:t>
      </w:r>
      <w:r>
        <w:rPr>
          <w:rFonts w:cs="仿宋" w:asciiTheme="minorEastAsia" w:hAnsiTheme="minorEastAsia" w:eastAsiaTheme="minorEastAsia"/>
          <w:kern w:val="0"/>
          <w:szCs w:val="21"/>
          <w:highlight w:val="none"/>
        </w:rPr>
        <w:fldChar w:fldCharType="end"/>
      </w:r>
      <w:r>
        <w:rPr>
          <w:rFonts w:cs="仿宋" w:asciiTheme="minorEastAsia" w:hAnsiTheme="minorEastAsia" w:eastAsiaTheme="minorEastAsia"/>
          <w:kern w:val="0"/>
          <w:szCs w:val="21"/>
          <w:highlight w:val="none"/>
        </w:rPr>
        <w:t>表中相关信息根据中标结果及签订合同前的约定进行补充完善。</w:t>
      </w:r>
    </w:p>
    <w:p>
      <w:pPr>
        <w:widowControl/>
        <w:tabs>
          <w:tab w:val="left" w:pos="993"/>
        </w:tabs>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2.交（提）货方式、时间及风险承担</w:t>
      </w:r>
    </w:p>
    <w:p>
      <w:pPr>
        <w:widowControl/>
        <w:numPr>
          <w:ilvl w:val="0"/>
          <w:numId w:val="4"/>
        </w:numPr>
        <w:spacing w:line="360" w:lineRule="auto"/>
        <w:ind w:firstLine="420"/>
        <w:jc w:val="left"/>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在合同期间，甲、</w:t>
      </w:r>
      <w:r>
        <w:rPr>
          <w:rFonts w:cs="仿宋" w:asciiTheme="minorEastAsia" w:hAnsiTheme="minorEastAsia" w:eastAsiaTheme="minorEastAsia"/>
          <w:kern w:val="0"/>
          <w:szCs w:val="21"/>
          <w:highlight w:val="none"/>
        </w:rPr>
        <w:t>乙双</w:t>
      </w:r>
      <w:r>
        <w:rPr>
          <w:rFonts w:cs="仿宋" w:asciiTheme="minorEastAsia" w:hAnsiTheme="minorEastAsia" w:eastAsiaTheme="minorEastAsia"/>
          <w:kern w:val="0"/>
          <w:szCs w:val="21"/>
          <w:highlight w:val="none"/>
          <w:lang w:val="zh-CN"/>
        </w:rPr>
        <w:t>方指定授权人办理该合同下的每批货物托运业务，</w:t>
      </w:r>
      <w:r>
        <w:rPr>
          <w:rFonts w:cs="仿宋" w:asciiTheme="minorEastAsia" w:hAnsiTheme="minorEastAsia" w:eastAsiaTheme="minorEastAsia"/>
          <w:kern w:val="0"/>
          <w:szCs w:val="21"/>
          <w:highlight w:val="none"/>
        </w:rPr>
        <w:t>甲方指定授权人</w:t>
      </w:r>
      <w:r>
        <w:rPr>
          <w:rFonts w:cs="仿宋" w:asciiTheme="minorEastAsia" w:hAnsiTheme="minorEastAsia" w:eastAsiaTheme="minorEastAsia"/>
          <w:kern w:val="0"/>
          <w:szCs w:val="21"/>
          <w:highlight w:val="none"/>
          <w:u w:val="single"/>
          <w:lang w:val="zh-CN"/>
        </w:rPr>
        <w:t xml:space="preserve"> </w:t>
      </w:r>
      <w:r>
        <w:rPr>
          <w:rFonts w:cs="仿宋" w:asciiTheme="minorEastAsia" w:hAnsiTheme="minorEastAsia" w:eastAsiaTheme="minorEastAsia"/>
          <w:kern w:val="0"/>
          <w:szCs w:val="21"/>
          <w:highlight w:val="none"/>
          <w:u w:val="single"/>
        </w:rPr>
        <w:t xml:space="preserve">    （联系电话：       ）</w:t>
      </w:r>
      <w:r>
        <w:rPr>
          <w:rFonts w:cs="仿宋" w:asciiTheme="minorEastAsia" w:hAnsiTheme="minorEastAsia" w:eastAsiaTheme="minorEastAsia"/>
          <w:kern w:val="0"/>
          <w:szCs w:val="21"/>
          <w:highlight w:val="none"/>
        </w:rPr>
        <w:t>，乙方指定授权人</w:t>
      </w:r>
      <w:r>
        <w:rPr>
          <w:rFonts w:cs="仿宋" w:asciiTheme="minorEastAsia" w:hAnsiTheme="minorEastAsia" w:eastAsiaTheme="minorEastAsia"/>
          <w:kern w:val="0"/>
          <w:szCs w:val="21"/>
          <w:highlight w:val="none"/>
          <w:u w:val="single"/>
        </w:rPr>
        <w:t xml:space="preserve">    （联系电话：         ）</w:t>
      </w:r>
      <w:r>
        <w:rPr>
          <w:rFonts w:cs="仿宋" w:asciiTheme="minorEastAsia" w:hAnsiTheme="minorEastAsia" w:eastAsiaTheme="minorEastAsia"/>
          <w:kern w:val="0"/>
          <w:szCs w:val="21"/>
          <w:highlight w:val="none"/>
        </w:rPr>
        <w:t>，</w:t>
      </w:r>
      <w:r>
        <w:rPr>
          <w:rFonts w:cs="仿宋" w:asciiTheme="minorEastAsia" w:hAnsiTheme="minorEastAsia" w:eastAsiaTheme="minorEastAsia"/>
          <w:kern w:val="0"/>
          <w:szCs w:val="21"/>
          <w:highlight w:val="none"/>
          <w:lang w:val="zh-CN"/>
        </w:rPr>
        <w:t>如</w:t>
      </w:r>
      <w:r>
        <w:rPr>
          <w:rFonts w:cs="仿宋" w:asciiTheme="minorEastAsia" w:hAnsiTheme="minorEastAsia" w:eastAsiaTheme="minorEastAsia"/>
          <w:kern w:val="0"/>
          <w:szCs w:val="21"/>
          <w:highlight w:val="none"/>
        </w:rPr>
        <w:t>双</w:t>
      </w:r>
      <w:r>
        <w:rPr>
          <w:rFonts w:cs="仿宋" w:asciiTheme="minorEastAsia" w:hAnsiTheme="minorEastAsia" w:eastAsiaTheme="minorEastAsia"/>
          <w:kern w:val="0"/>
          <w:szCs w:val="21"/>
          <w:highlight w:val="none"/>
          <w:lang w:val="zh-CN"/>
        </w:rPr>
        <w:t>方办理人员发生变动须</w:t>
      </w:r>
      <w:r>
        <w:rPr>
          <w:rFonts w:cs="仿宋" w:asciiTheme="minorEastAsia" w:hAnsiTheme="minorEastAsia" w:eastAsiaTheme="minorEastAsia"/>
          <w:kern w:val="0"/>
          <w:szCs w:val="21"/>
          <w:highlight w:val="none"/>
        </w:rPr>
        <w:t>提前3个工作日</w:t>
      </w:r>
      <w:r>
        <w:rPr>
          <w:rFonts w:cs="仿宋" w:asciiTheme="minorEastAsia" w:hAnsiTheme="minorEastAsia" w:eastAsiaTheme="minorEastAsia"/>
          <w:kern w:val="0"/>
          <w:szCs w:val="21"/>
          <w:highlight w:val="none"/>
          <w:lang w:val="zh-CN"/>
        </w:rPr>
        <w:t>书面通知</w:t>
      </w:r>
      <w:r>
        <w:rPr>
          <w:rFonts w:cs="仿宋" w:asciiTheme="minorEastAsia" w:hAnsiTheme="minorEastAsia" w:eastAsiaTheme="minorEastAsia"/>
          <w:kern w:val="0"/>
          <w:szCs w:val="21"/>
          <w:highlight w:val="none"/>
        </w:rPr>
        <w:t>对方。通知未到达前仍以未变更的指定授权人为联系人。</w:t>
      </w:r>
    </w:p>
    <w:p>
      <w:pPr>
        <w:widowControl/>
        <w:numPr>
          <w:ilvl w:val="0"/>
          <w:numId w:val="4"/>
        </w:numPr>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乙方按照甲方的运输管理规定，</w:t>
      </w:r>
      <w:r>
        <w:rPr>
          <w:rFonts w:cs="仿宋" w:asciiTheme="minorEastAsia" w:hAnsiTheme="minorEastAsia" w:eastAsiaTheme="minorEastAsia"/>
          <w:b/>
          <w:bCs/>
          <w:kern w:val="0"/>
          <w:szCs w:val="21"/>
          <w:highlight w:val="none"/>
        </w:rPr>
        <w:t>在甲方运输管理系统注册账号，按要求将运输船舶及船舶驾驶人员信息录入系统，并通过运输管理系统接受甲方的运输指令和运输管理。</w:t>
      </w:r>
      <w:r>
        <w:rPr>
          <w:rFonts w:cs="仿宋" w:asciiTheme="minorEastAsia" w:hAnsiTheme="minorEastAsia" w:eastAsiaTheme="minorEastAsia"/>
          <w:kern w:val="0"/>
          <w:szCs w:val="21"/>
          <w:highlight w:val="none"/>
        </w:rPr>
        <w:t>运输船舶执行运输计划过程中，一是在提货装船、提货装车时，船舶驾驶人员须拍照上传发货单图片至系统后才可驶离提货地点；二是到达指定收货地点卸货时，船舶驾驶人员须拍照上传指定</w:t>
      </w:r>
      <w:r>
        <w:rPr>
          <w:rFonts w:cs="仿宋" w:asciiTheme="minorEastAsia" w:hAnsiTheme="minorEastAsia" w:eastAsiaTheme="minorEastAsia"/>
          <w:b/>
          <w:bCs/>
          <w:kern w:val="0"/>
          <w:szCs w:val="21"/>
          <w:highlight w:val="none"/>
        </w:rPr>
        <w:t>收货地点收货人</w:t>
      </w:r>
      <w:r>
        <w:rPr>
          <w:rFonts w:cs="仿宋" w:asciiTheme="minorEastAsia" w:hAnsiTheme="minorEastAsia" w:eastAsiaTheme="minorEastAsia"/>
          <w:kern w:val="0"/>
          <w:szCs w:val="21"/>
          <w:highlight w:val="none"/>
        </w:rPr>
        <w:t>开具的收货单图片至系统，收货单图片必须清晰显示</w:t>
      </w:r>
      <w:r>
        <w:rPr>
          <w:rFonts w:hint="eastAsia" w:cs="仿宋" w:asciiTheme="minorEastAsia" w:hAnsiTheme="minorEastAsia" w:eastAsiaTheme="minorEastAsia"/>
          <w:kern w:val="0"/>
          <w:szCs w:val="21"/>
          <w:highlight w:val="none"/>
        </w:rPr>
        <w:t>材料型号规格</w:t>
      </w:r>
      <w:r>
        <w:rPr>
          <w:rFonts w:cs="仿宋" w:asciiTheme="minorEastAsia" w:hAnsiTheme="minorEastAsia" w:eastAsiaTheme="minorEastAsia"/>
          <w:kern w:val="0"/>
          <w:szCs w:val="21"/>
          <w:highlight w:val="none"/>
        </w:rPr>
        <w:t>、收货时间、收货地名称、净重数量、收货人姓名等信息。</w:t>
      </w:r>
      <w:r>
        <w:rPr>
          <w:rFonts w:cs="仿宋" w:asciiTheme="minorEastAsia" w:hAnsiTheme="minorEastAsia" w:eastAsiaTheme="minorEastAsia"/>
          <w:kern w:val="0"/>
          <w:szCs w:val="21"/>
          <w:highlight w:val="none"/>
          <w:lang w:val="zh-CN"/>
        </w:rPr>
        <w:t>乙方</w:t>
      </w:r>
      <w:r>
        <w:rPr>
          <w:rFonts w:cs="仿宋" w:asciiTheme="minorEastAsia" w:hAnsiTheme="minorEastAsia" w:eastAsiaTheme="minorEastAsia"/>
          <w:kern w:val="0"/>
          <w:szCs w:val="21"/>
          <w:highlight w:val="none"/>
        </w:rPr>
        <w:t>将</w:t>
      </w:r>
      <w:r>
        <w:rPr>
          <w:rFonts w:cs="仿宋" w:asciiTheme="minorEastAsia" w:hAnsiTheme="minorEastAsia" w:eastAsiaTheme="minorEastAsia"/>
          <w:kern w:val="0"/>
          <w:szCs w:val="21"/>
          <w:highlight w:val="none"/>
          <w:lang w:val="zh-CN"/>
        </w:rPr>
        <w:t>收取的发货单、收货单上传至</w:t>
      </w:r>
      <w:r>
        <w:rPr>
          <w:rFonts w:cs="仿宋" w:asciiTheme="minorEastAsia" w:hAnsiTheme="minorEastAsia" w:eastAsiaTheme="minorEastAsia"/>
          <w:kern w:val="0"/>
          <w:szCs w:val="21"/>
          <w:highlight w:val="none"/>
        </w:rPr>
        <w:t>运输管理系统后</w:t>
      </w: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须同时</w:t>
      </w:r>
      <w:r>
        <w:rPr>
          <w:rFonts w:cs="仿宋" w:asciiTheme="minorEastAsia" w:hAnsiTheme="minorEastAsia" w:eastAsiaTheme="minorEastAsia"/>
          <w:kern w:val="0"/>
          <w:szCs w:val="21"/>
          <w:highlight w:val="none"/>
          <w:lang w:val="zh-CN"/>
        </w:rPr>
        <w:t>根据单据上的内容如实填报。</w:t>
      </w:r>
    </w:p>
    <w:p>
      <w:pPr>
        <w:widowControl/>
        <w:numPr>
          <w:ilvl w:val="0"/>
          <w:numId w:val="4"/>
        </w:numPr>
        <w:spacing w:line="360" w:lineRule="auto"/>
        <w:ind w:firstLine="422" w:firstLineChars="200"/>
        <w:rPr>
          <w:rFonts w:cs="仿宋" w:asciiTheme="minorEastAsia" w:hAnsiTheme="minorEastAsia" w:eastAsiaTheme="minorEastAsia"/>
          <w:b/>
          <w:bCs/>
          <w:kern w:val="0"/>
          <w:szCs w:val="21"/>
          <w:highlight w:val="none"/>
          <w:u w:val="single"/>
          <w:lang w:val="zh-CN"/>
        </w:rPr>
      </w:pPr>
      <w:r>
        <w:rPr>
          <w:rFonts w:cs="仿宋" w:asciiTheme="minorEastAsia" w:hAnsiTheme="minorEastAsia" w:eastAsiaTheme="minorEastAsia"/>
          <w:b/>
          <w:bCs/>
          <w:kern w:val="0"/>
          <w:szCs w:val="21"/>
          <w:highlight w:val="none"/>
        </w:rPr>
        <w:t>乙方按照甲方的运输管理规定，按要求在运输船舶安装指定的GPS设备，设备安装及使用费用由乙方承担。</w:t>
      </w:r>
    </w:p>
    <w:p>
      <w:pPr>
        <w:widowControl/>
        <w:numPr>
          <w:ilvl w:val="0"/>
          <w:numId w:val="4"/>
        </w:numPr>
        <w:spacing w:line="360" w:lineRule="auto"/>
        <w:ind w:firstLine="420" w:firstLineChars="200"/>
        <w:rPr>
          <w:rFonts w:cs="仿宋" w:asciiTheme="minorEastAsia" w:hAnsiTheme="minorEastAsia" w:eastAsiaTheme="minorEastAsia"/>
          <w:kern w:val="0"/>
          <w:szCs w:val="21"/>
          <w:highlight w:val="none"/>
          <w:u w:val="single"/>
          <w:lang w:val="zh-CN"/>
        </w:rPr>
      </w:pPr>
      <w:r>
        <w:rPr>
          <w:rFonts w:cs="仿宋" w:asciiTheme="minorEastAsia" w:hAnsiTheme="minorEastAsia" w:eastAsiaTheme="minorEastAsia"/>
          <w:kern w:val="0"/>
          <w:szCs w:val="21"/>
          <w:highlight w:val="none"/>
          <w:lang w:val="zh-CN"/>
        </w:rPr>
        <w:t>乙方应根据</w:t>
      </w:r>
      <w:r>
        <w:rPr>
          <w:rFonts w:cs="仿宋" w:asciiTheme="minorEastAsia" w:hAnsiTheme="minorEastAsia" w:eastAsiaTheme="minorEastAsia"/>
          <w:kern w:val="0"/>
          <w:szCs w:val="21"/>
          <w:highlight w:val="none"/>
        </w:rPr>
        <w:t>船舶</w:t>
      </w:r>
      <w:r>
        <w:rPr>
          <w:rFonts w:cs="仿宋" w:asciiTheme="minorEastAsia" w:hAnsiTheme="minorEastAsia" w:eastAsiaTheme="minorEastAsia"/>
          <w:kern w:val="0"/>
          <w:szCs w:val="21"/>
          <w:highlight w:val="none"/>
          <w:lang w:val="zh-CN"/>
        </w:rPr>
        <w:t>运输管理要求以及甲方要求向甲方指定的发货人收取运输所需相关文件材料，包含所运货物的</w:t>
      </w:r>
      <w:r>
        <w:rPr>
          <w:rFonts w:hint="eastAsia" w:cs="仿宋" w:asciiTheme="minorEastAsia" w:hAnsiTheme="minorEastAsia" w:eastAsiaTheme="minorEastAsia"/>
          <w:kern w:val="0"/>
          <w:szCs w:val="21"/>
          <w:highlight w:val="none"/>
          <w:lang w:val="zh-CN"/>
        </w:rPr>
        <w:t>材料型号规格</w:t>
      </w:r>
      <w:r>
        <w:rPr>
          <w:rFonts w:cs="仿宋" w:asciiTheme="minorEastAsia" w:hAnsiTheme="minorEastAsia" w:eastAsiaTheme="minorEastAsia"/>
          <w:kern w:val="0"/>
          <w:szCs w:val="21"/>
          <w:highlight w:val="none"/>
          <w:lang w:val="zh-CN"/>
        </w:rPr>
        <w:t>、检测报告、产品合格证、出厂磅单、需随货交付给收货人文件等资料。货物送到后，</w:t>
      </w:r>
      <w:r>
        <w:rPr>
          <w:rFonts w:hint="eastAsia" w:cs="仿宋" w:asciiTheme="minorEastAsia" w:hAnsiTheme="minorEastAsia" w:eastAsiaTheme="minorEastAsia"/>
          <w:kern w:val="0"/>
          <w:szCs w:val="21"/>
          <w:highlight w:val="none"/>
          <w:lang w:val="zh-CN"/>
        </w:rPr>
        <w:t>甲</w:t>
      </w:r>
      <w:r>
        <w:rPr>
          <w:rFonts w:cs="仿宋" w:asciiTheme="minorEastAsia" w:hAnsiTheme="minorEastAsia" w:eastAsiaTheme="minorEastAsia"/>
          <w:kern w:val="0"/>
          <w:szCs w:val="21"/>
          <w:highlight w:val="none"/>
          <w:lang w:val="zh-CN"/>
        </w:rPr>
        <w:t>方应核对收货单据内容</w:t>
      </w:r>
      <w:r>
        <w:rPr>
          <w:rFonts w:cs="仿宋" w:asciiTheme="minorEastAsia" w:hAnsiTheme="minorEastAsia" w:eastAsiaTheme="minorEastAsia"/>
          <w:kern w:val="0"/>
          <w:szCs w:val="21"/>
          <w:highlight w:val="none"/>
        </w:rPr>
        <w:t>确认</w:t>
      </w:r>
      <w:r>
        <w:rPr>
          <w:rFonts w:cs="仿宋" w:asciiTheme="minorEastAsia" w:hAnsiTheme="minorEastAsia" w:eastAsiaTheme="minorEastAsia"/>
          <w:kern w:val="0"/>
          <w:szCs w:val="21"/>
          <w:highlight w:val="none"/>
          <w:lang w:val="zh-CN"/>
        </w:rPr>
        <w:t>无误后及时收取。</w:t>
      </w:r>
    </w:p>
    <w:p>
      <w:pPr>
        <w:widowControl/>
        <w:numPr>
          <w:ilvl w:val="0"/>
          <w:numId w:val="4"/>
        </w:numPr>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乙方在收到甲方货物运输计划/指令后3天内完成船舶组织并到达指定装货地点，并在甲方货物装载完成后10天内将货物运送至指定的收货地点交付货物予甲方指定收货人（钢材必须按型号及对应数量完成在指定收货地点的货物交付）。甲方发出计划/指令的具体时间以甲方通知日期为准。甲方可根据需要增减已下达的运输计划，特殊情况以双方沟通后一致确认的结果为准。</w:t>
      </w:r>
    </w:p>
    <w:p>
      <w:pPr>
        <w:widowControl/>
        <w:numPr>
          <w:ilvl w:val="0"/>
          <w:numId w:val="4"/>
        </w:numPr>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lang w:val="zh-CN"/>
        </w:rPr>
        <w:t>甲乙双方以</w:t>
      </w:r>
      <w:r>
        <w:rPr>
          <w:rFonts w:cs="仿宋" w:asciiTheme="minorEastAsia" w:hAnsiTheme="minorEastAsia" w:eastAsiaTheme="minorEastAsia"/>
          <w:kern w:val="0"/>
          <w:szCs w:val="21"/>
          <w:highlight w:val="none"/>
        </w:rPr>
        <w:t>实际发生的货物交接</w:t>
      </w:r>
      <w:r>
        <w:rPr>
          <w:rFonts w:cs="仿宋" w:asciiTheme="minorEastAsia" w:hAnsiTheme="minorEastAsia" w:eastAsiaTheme="minorEastAsia"/>
          <w:kern w:val="0"/>
          <w:szCs w:val="21"/>
          <w:highlight w:val="none"/>
          <w:lang w:val="zh-CN"/>
        </w:rPr>
        <w:t>凭证上接收与交付双方经办人的</w:t>
      </w:r>
      <w:r>
        <w:rPr>
          <w:rFonts w:cs="仿宋" w:asciiTheme="minorEastAsia" w:hAnsiTheme="minorEastAsia" w:eastAsiaTheme="minorEastAsia"/>
          <w:kern w:val="0"/>
          <w:szCs w:val="21"/>
          <w:highlight w:val="none"/>
        </w:rPr>
        <w:t>签字确认</w:t>
      </w:r>
      <w:r>
        <w:rPr>
          <w:rFonts w:cs="仿宋" w:asciiTheme="minorEastAsia" w:hAnsiTheme="minorEastAsia" w:eastAsiaTheme="minorEastAsia"/>
          <w:kern w:val="0"/>
          <w:szCs w:val="21"/>
          <w:highlight w:val="none"/>
          <w:lang w:val="zh-CN"/>
        </w:rPr>
        <w:t>作为货物完好交接的依据。</w:t>
      </w:r>
    </w:p>
    <w:p>
      <w:pPr>
        <w:widowControl/>
        <w:spacing w:line="360" w:lineRule="auto"/>
        <w:ind w:firstLine="420" w:firstLineChars="200"/>
        <w:rPr>
          <w:rFonts w:cs="仿宋" w:asciiTheme="minorEastAsia" w:hAnsiTheme="minorEastAsia" w:eastAsiaTheme="minorEastAsia"/>
          <w:kern w:val="0"/>
          <w:szCs w:val="21"/>
          <w:highlight w:val="none"/>
        </w:rPr>
      </w:pPr>
      <w:bookmarkStart w:id="508" w:name="_Hlk57893562"/>
      <w:r>
        <w:rPr>
          <w:rFonts w:cs="仿宋" w:asciiTheme="minorEastAsia" w:hAnsiTheme="minorEastAsia" w:eastAsiaTheme="minorEastAsia"/>
          <w:kern w:val="0"/>
          <w:szCs w:val="21"/>
          <w:highlight w:val="none"/>
          <w:lang w:val="zh-CN"/>
        </w:rPr>
        <w:t>（7）乙方须根据发货计划的货物性质和种类，在甲方要求的时间内调派合适的运输船舶到达指定地点装货；即便甲方某个批次的货物运输计划中的运输量使得乙方无法调派合适的运输船舶时，且未达到单船或船队额定运量时，乙方也不得在运输本项目货物的船舶上进行拼装运输。否则</w:t>
      </w:r>
      <w:r>
        <w:rPr>
          <w:rFonts w:cs="仿宋" w:asciiTheme="minorEastAsia" w:hAnsiTheme="minorEastAsia" w:eastAsiaTheme="minorEastAsia"/>
          <w:kern w:val="0"/>
          <w:szCs w:val="21"/>
          <w:highlight w:val="none"/>
        </w:rPr>
        <w:t>甲方将按照乙方违约追究其违约责任，同时由乙方全部承担因</w:t>
      </w:r>
      <w:r>
        <w:rPr>
          <w:rFonts w:hint="eastAsia" w:cs="仿宋" w:asciiTheme="minorEastAsia" w:hAnsiTheme="minorEastAsia" w:eastAsiaTheme="minorEastAsia"/>
          <w:kern w:val="0"/>
          <w:szCs w:val="21"/>
          <w:highlight w:val="none"/>
        </w:rPr>
        <w:t>拼装货物</w:t>
      </w:r>
      <w:r>
        <w:rPr>
          <w:rFonts w:cs="仿宋" w:asciiTheme="minorEastAsia" w:hAnsiTheme="minorEastAsia" w:eastAsiaTheme="minorEastAsia"/>
          <w:kern w:val="0"/>
          <w:szCs w:val="21"/>
          <w:highlight w:val="none"/>
        </w:rPr>
        <w:t>而造成的甲方损失以及产生的额外全部费用以及因第三方索赔而支付的赔偿金等。</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（8）乙方应在投标报价中充分考虑每批运输货物量存在装船不满、空返对报价的影响，甲方不再为此进行价格调整。</w:t>
      </w:r>
    </w:p>
    <w:p>
      <w:pPr>
        <w:autoSpaceDE w:val="0"/>
        <w:autoSpaceDN w:val="0"/>
        <w:adjustRightInd w:val="0"/>
        <w:snapToGrid w:val="0"/>
        <w:spacing w:line="360" w:lineRule="auto"/>
        <w:ind w:firstLine="420" w:firstLineChars="200"/>
        <w:jc w:val="left"/>
        <w:rPr>
          <w:rFonts w:ascii="宋体" w:hAnsi="宋体" w:cs="宋体"/>
          <w:kern w:val="0"/>
          <w:szCs w:val="21"/>
          <w:highlight w:val="none"/>
          <w:lang w:val="zh-CN" w:bidi="zh-CN"/>
        </w:rPr>
      </w:pPr>
      <w:r>
        <w:rPr>
          <w:rFonts w:cs="仿宋" w:asciiTheme="minorEastAsia" w:hAnsiTheme="minorEastAsia" w:eastAsiaTheme="minorEastAsia"/>
          <w:szCs w:val="21"/>
          <w:highlight w:val="none"/>
        </w:rPr>
        <w:t>（9）</w:t>
      </w:r>
      <w:r>
        <w:rPr>
          <w:rFonts w:hint="eastAsia" w:cs="仿宋" w:asciiTheme="minorEastAsia" w:hAnsiTheme="minorEastAsia" w:eastAsiaTheme="minorEastAsia"/>
          <w:szCs w:val="21"/>
          <w:highlight w:val="none"/>
        </w:rPr>
        <w:t>乙方</w:t>
      </w:r>
      <w:r>
        <w:rPr>
          <w:rFonts w:cs="仿宋" w:asciiTheme="minorEastAsia" w:hAnsiTheme="minorEastAsia" w:eastAsiaTheme="minorEastAsia"/>
          <w:szCs w:val="21"/>
          <w:highlight w:val="none"/>
        </w:rPr>
        <w:t>配置</w:t>
      </w:r>
      <w:r>
        <w:rPr>
          <w:rFonts w:hint="eastAsia" w:ascii="宋体" w:hAnsi="宋体" w:cs="宋体"/>
          <w:kern w:val="0"/>
          <w:szCs w:val="21"/>
          <w:highlight w:val="none"/>
          <w:lang w:val="zh-CN" w:bidi="zh-CN"/>
        </w:rPr>
        <w:t>船舶必须按照采购人船运要求规范装载，基本要求为船舱有遮盖措施，备足符合要求的垫木。同时配置船舶还应符合通过</w:t>
      </w:r>
      <w:r>
        <w:rPr>
          <w:rFonts w:ascii="宋体" w:hAnsi="宋体" w:cs="宋体"/>
          <w:kern w:val="0"/>
          <w:szCs w:val="21"/>
          <w:highlight w:val="none"/>
          <w:lang w:val="zh-CN" w:bidi="zh-CN"/>
        </w:rPr>
        <w:t>向家坝电站的要求。</w:t>
      </w:r>
    </w:p>
    <w:bookmarkEnd w:id="508"/>
    <w:p>
      <w:pPr>
        <w:widowControl/>
        <w:spacing w:line="360" w:lineRule="auto"/>
        <w:ind w:firstLine="420" w:firstLineChars="200"/>
        <w:rPr>
          <w:rFonts w:cs="仿宋" w:asciiTheme="minorEastAsia" w:hAnsiTheme="minorEastAsia" w:eastAsiaTheme="minorEastAsia"/>
          <w:szCs w:val="21"/>
          <w:highlight w:val="none"/>
        </w:rPr>
      </w:pPr>
      <w:bookmarkStart w:id="509" w:name="_Hlk57893730"/>
      <w:r>
        <w:rPr>
          <w:rFonts w:cs="仿宋" w:asciiTheme="minorEastAsia" w:hAnsiTheme="minorEastAsia" w:eastAsiaTheme="minorEastAsia"/>
          <w:szCs w:val="21"/>
          <w:highlight w:val="none"/>
        </w:rPr>
        <w:t>若船型配置不符合通过向家坝电站升船机要求的或者其他原因不能及时通过，承运商应考虑采用翻坝转运方式及时完成运输任务，且自行承担由此造成的通过翻坝转运系统开展货物转运发生的所有费用及责任。</w:t>
      </w:r>
    </w:p>
    <w:bookmarkEnd w:id="509"/>
    <w:p>
      <w:pPr>
        <w:widowControl/>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第二条甲方权利和义务</w:t>
      </w:r>
    </w:p>
    <w:p>
      <w:pPr>
        <w:widowControl/>
        <w:spacing w:line="360" w:lineRule="auto"/>
        <w:ind w:firstLine="420" w:firstLineChars="200"/>
        <w:jc w:val="left"/>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1.甲方提前向乙方发出运输需求。</w:t>
      </w:r>
    </w:p>
    <w:p>
      <w:pPr>
        <w:widowControl/>
        <w:spacing w:line="360" w:lineRule="auto"/>
        <w:ind w:firstLine="420" w:firstLineChars="200"/>
        <w:jc w:val="left"/>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2.按照本合同规定及时支付运费。</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3.如乙方违反甲方或甲方客户的质量、安全管理等制度及管理要求，甲方有权按照甲方规定或甲方客户的规定对乙方进行相应处罚。</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4.因乙方原因给甲方造成损失的，甲方有权根据情况要求乙方赔偿所有损失，包括甲方因此对第三方进行的赔偿。</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5.甲方有权对本合同提及的管理制度及各种标准进行适时修订，并及时通知乙方遵照执行。</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6.</w:t>
      </w:r>
      <w:r>
        <w:rPr>
          <w:rFonts w:cs="仿宋" w:asciiTheme="minorEastAsia" w:hAnsiTheme="minorEastAsia" w:eastAsiaTheme="minorEastAsia"/>
          <w:kern w:val="0"/>
          <w:szCs w:val="21"/>
          <w:highlight w:val="none"/>
          <w:lang w:val="zh-CN"/>
        </w:rPr>
        <w:t>甲乙双方不得无故终止合同，未经</w:t>
      </w:r>
      <w:r>
        <w:rPr>
          <w:rFonts w:cs="仿宋" w:asciiTheme="minorEastAsia" w:hAnsiTheme="minorEastAsia" w:eastAsiaTheme="minorEastAsia"/>
          <w:kern w:val="0"/>
          <w:szCs w:val="21"/>
          <w:highlight w:val="none"/>
        </w:rPr>
        <w:t>甲方书面</w:t>
      </w:r>
      <w:r>
        <w:rPr>
          <w:rFonts w:cs="仿宋" w:asciiTheme="minorEastAsia" w:hAnsiTheme="minorEastAsia" w:eastAsiaTheme="minorEastAsia"/>
          <w:kern w:val="0"/>
          <w:szCs w:val="21"/>
          <w:highlight w:val="none"/>
          <w:lang w:val="zh-CN"/>
        </w:rPr>
        <w:t>同意，</w:t>
      </w:r>
      <w:r>
        <w:rPr>
          <w:rFonts w:cs="仿宋" w:asciiTheme="minorEastAsia" w:hAnsiTheme="minorEastAsia" w:eastAsiaTheme="minorEastAsia"/>
          <w:kern w:val="0"/>
          <w:szCs w:val="21"/>
          <w:highlight w:val="none"/>
        </w:rPr>
        <w:t>乙方</w:t>
      </w:r>
      <w:r>
        <w:rPr>
          <w:rFonts w:cs="仿宋" w:asciiTheme="minorEastAsia" w:hAnsiTheme="minorEastAsia" w:eastAsiaTheme="minorEastAsia"/>
          <w:kern w:val="0"/>
          <w:szCs w:val="21"/>
          <w:highlight w:val="none"/>
          <w:lang w:val="zh-CN"/>
        </w:rPr>
        <w:t>不得随意撤走船舶。</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7.甲方有权要求乙方提供其所委托发送货物的运输和签收信息，及向乙方查询货物运输服务过程的状况。甲方有权对乙方在货物运输服务过程中，由于乙方责任造成的货物损失提出赔偿要求。</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8.甲方应做好与收货人的沟通协调，因甲方原因造成的货物交付逾期、货物误交付、货物到达后无人收货或收货人无正当理由拒绝收货等，乙方</w:t>
      </w:r>
      <w:r>
        <w:rPr>
          <w:rFonts w:hint="eastAsia" w:cs="仿宋" w:asciiTheme="minorEastAsia" w:hAnsiTheme="minorEastAsia" w:eastAsiaTheme="minorEastAsia"/>
          <w:kern w:val="0"/>
          <w:szCs w:val="21"/>
          <w:highlight w:val="none"/>
        </w:rPr>
        <w:t>无</w:t>
      </w:r>
      <w:r>
        <w:rPr>
          <w:rFonts w:cs="仿宋" w:asciiTheme="minorEastAsia" w:hAnsiTheme="minorEastAsia" w:eastAsiaTheme="minorEastAsia"/>
          <w:kern w:val="0"/>
          <w:szCs w:val="21"/>
          <w:highlight w:val="none"/>
        </w:rPr>
        <w:t>违约责任。</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9.甲方负责码头现场的装卸货协调工作，雷波糖房村码头卸货由采购人负责。</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10.甲方负责运输船只油料供应，油料价格参照当地陆上中石化挂牌批发价执行。</w:t>
      </w:r>
    </w:p>
    <w:p>
      <w:pPr>
        <w:widowControl/>
        <w:tabs>
          <w:tab w:val="left" w:pos="709"/>
          <w:tab w:val="left" w:pos="993"/>
        </w:tabs>
        <w:spacing w:line="360" w:lineRule="auto"/>
        <w:ind w:firstLine="422" w:firstLineChars="200"/>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rPr>
        <w:t xml:space="preserve">第三条 </w:t>
      </w:r>
      <w:r>
        <w:rPr>
          <w:rFonts w:cs="仿宋" w:asciiTheme="minorEastAsia" w:hAnsiTheme="minorEastAsia" w:eastAsiaTheme="minorEastAsia"/>
          <w:b/>
          <w:bCs/>
          <w:kern w:val="0"/>
          <w:szCs w:val="21"/>
          <w:highlight w:val="none"/>
          <w:lang w:val="zh-CN"/>
        </w:rPr>
        <w:t>乙方的权利和义务</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1.乙方必须具有相应的水路运输资质，牌照齐全有效，技术状况良好，并提交甲方备案。</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2.乙方须根据发货计划的货物性质和种类，在甲方要求的时间内调派合适的运输船舶到达指定地点装货，并及时告知甲方相关船舶</w:t>
      </w:r>
      <w:r>
        <w:rPr>
          <w:rFonts w:cs="仿宋" w:asciiTheme="minorEastAsia" w:hAnsiTheme="minorEastAsia" w:eastAsiaTheme="minorEastAsia"/>
          <w:kern w:val="0"/>
          <w:szCs w:val="21"/>
          <w:highlight w:val="none"/>
        </w:rPr>
        <w:t>、</w:t>
      </w:r>
      <w:r>
        <w:rPr>
          <w:rFonts w:cs="仿宋" w:asciiTheme="minorEastAsia" w:hAnsiTheme="minorEastAsia" w:eastAsiaTheme="minorEastAsia"/>
          <w:kern w:val="0"/>
          <w:szCs w:val="21"/>
          <w:highlight w:val="none"/>
          <w:lang w:val="zh-CN"/>
        </w:rPr>
        <w:t>码头或港口的准确信息。</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3、乙方所派船舶及工作人员，须严格遵守国家相关的法规以及甲方及甲方客户的相关规章制度。乙方船舶不得</w:t>
      </w:r>
      <w:r>
        <w:rPr>
          <w:rFonts w:cs="仿宋" w:asciiTheme="minorEastAsia" w:hAnsiTheme="minorEastAsia" w:eastAsiaTheme="minorEastAsia"/>
          <w:kern w:val="0"/>
          <w:szCs w:val="21"/>
          <w:highlight w:val="none"/>
        </w:rPr>
        <w:t>违法</w:t>
      </w:r>
      <w:r>
        <w:rPr>
          <w:rFonts w:cs="仿宋" w:asciiTheme="minorEastAsia" w:hAnsiTheme="minorEastAsia" w:eastAsiaTheme="minorEastAsia"/>
          <w:kern w:val="0"/>
          <w:szCs w:val="21"/>
          <w:highlight w:val="none"/>
          <w:lang w:val="zh-CN"/>
        </w:rPr>
        <w:t>超限、</w:t>
      </w:r>
      <w:r>
        <w:rPr>
          <w:rFonts w:cs="仿宋" w:asciiTheme="minorEastAsia" w:hAnsiTheme="minorEastAsia" w:eastAsiaTheme="minorEastAsia"/>
          <w:kern w:val="0"/>
          <w:szCs w:val="21"/>
          <w:highlight w:val="none"/>
        </w:rPr>
        <w:t>超载</w:t>
      </w:r>
      <w:r>
        <w:rPr>
          <w:rFonts w:cs="仿宋" w:asciiTheme="minorEastAsia" w:hAnsiTheme="minorEastAsia" w:eastAsiaTheme="minorEastAsia"/>
          <w:kern w:val="0"/>
          <w:szCs w:val="21"/>
          <w:highlight w:val="none"/>
          <w:lang w:val="zh-CN"/>
        </w:rPr>
        <w:t>运输，超限运输的船舶必须取得相关政府部门的许可。</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4.乙</w:t>
      </w:r>
      <w:r>
        <w:rPr>
          <w:rFonts w:cs="仿宋" w:asciiTheme="minorEastAsia" w:hAnsiTheme="minorEastAsia" w:eastAsiaTheme="minorEastAsia"/>
          <w:kern w:val="0"/>
          <w:szCs w:val="21"/>
          <w:highlight w:val="none"/>
          <w:lang w:val="zh-CN"/>
        </w:rPr>
        <w:t>方参运的所有</w:t>
      </w:r>
      <w:r>
        <w:rPr>
          <w:rFonts w:cs="仿宋" w:asciiTheme="minorEastAsia" w:hAnsiTheme="minorEastAsia" w:eastAsiaTheme="minorEastAsia"/>
          <w:kern w:val="0"/>
          <w:szCs w:val="21"/>
          <w:highlight w:val="none"/>
        </w:rPr>
        <w:t>船舶及驾驶人员</w:t>
      </w:r>
      <w:r>
        <w:rPr>
          <w:rFonts w:cs="仿宋" w:asciiTheme="minorEastAsia" w:hAnsiTheme="minorEastAsia" w:eastAsiaTheme="minorEastAsia"/>
          <w:kern w:val="0"/>
          <w:szCs w:val="21"/>
          <w:highlight w:val="none"/>
          <w:lang w:val="zh-CN"/>
        </w:rPr>
        <w:t>必须按照国家有关规定</w:t>
      </w:r>
      <w:r>
        <w:rPr>
          <w:rFonts w:cs="仿宋" w:asciiTheme="minorEastAsia" w:hAnsiTheme="minorEastAsia" w:eastAsiaTheme="minorEastAsia"/>
          <w:kern w:val="0"/>
          <w:szCs w:val="21"/>
          <w:highlight w:val="none"/>
        </w:rPr>
        <w:t>购买强制保险和商业</w:t>
      </w:r>
      <w:r>
        <w:rPr>
          <w:rFonts w:cs="仿宋" w:asciiTheme="minorEastAsia" w:hAnsiTheme="minorEastAsia" w:eastAsiaTheme="minorEastAsia"/>
          <w:kern w:val="0"/>
          <w:szCs w:val="21"/>
          <w:highlight w:val="none"/>
          <w:lang w:val="zh-CN"/>
        </w:rPr>
        <w:t>保险，</w:t>
      </w:r>
      <w:r>
        <w:rPr>
          <w:rFonts w:cs="仿宋" w:asciiTheme="minorEastAsia" w:hAnsiTheme="minorEastAsia" w:eastAsiaTheme="minorEastAsia"/>
          <w:kern w:val="0"/>
          <w:szCs w:val="21"/>
          <w:highlight w:val="none"/>
        </w:rPr>
        <w:t>船运货物须购买货物险，保险费用由乙方承担。</w:t>
      </w:r>
      <w:r>
        <w:rPr>
          <w:rFonts w:cs="仿宋" w:asciiTheme="minorEastAsia" w:hAnsiTheme="minorEastAsia" w:eastAsiaTheme="minorEastAsia"/>
          <w:kern w:val="0"/>
          <w:szCs w:val="21"/>
          <w:highlight w:val="none"/>
          <w:lang w:val="zh-CN"/>
        </w:rPr>
        <w:t>若在</w:t>
      </w:r>
      <w:r>
        <w:rPr>
          <w:rFonts w:cs="仿宋" w:asciiTheme="minorEastAsia" w:hAnsiTheme="minorEastAsia" w:eastAsiaTheme="minorEastAsia"/>
          <w:kern w:val="0"/>
          <w:szCs w:val="21"/>
          <w:highlight w:val="none"/>
        </w:rPr>
        <w:t>货物</w:t>
      </w:r>
      <w:r>
        <w:rPr>
          <w:rFonts w:cs="仿宋" w:asciiTheme="minorEastAsia" w:hAnsiTheme="minorEastAsia" w:eastAsiaTheme="minorEastAsia"/>
          <w:kern w:val="0"/>
          <w:szCs w:val="21"/>
          <w:highlight w:val="none"/>
          <w:lang w:val="zh-CN"/>
        </w:rPr>
        <w:t>运输及装卸</w:t>
      </w:r>
      <w:bookmarkStart w:id="510" w:name="_Hlk57894314"/>
      <w:r>
        <w:rPr>
          <w:rFonts w:cs="仿宋" w:asciiTheme="minorEastAsia" w:hAnsiTheme="minorEastAsia" w:eastAsiaTheme="minorEastAsia"/>
          <w:kern w:val="0"/>
          <w:szCs w:val="21"/>
          <w:highlight w:val="none"/>
          <w:lang w:val="zh-CN"/>
        </w:rPr>
        <w:t>（乙方自行承担的卸货（如有））</w:t>
      </w:r>
      <w:bookmarkEnd w:id="510"/>
      <w:r>
        <w:rPr>
          <w:rFonts w:cs="仿宋" w:asciiTheme="minorEastAsia" w:hAnsiTheme="minorEastAsia" w:eastAsiaTheme="minorEastAsia"/>
          <w:kern w:val="0"/>
          <w:szCs w:val="21"/>
          <w:highlight w:val="none"/>
          <w:lang w:val="zh-CN"/>
        </w:rPr>
        <w:t>过程中发生安全</w:t>
      </w:r>
      <w:r>
        <w:rPr>
          <w:rFonts w:cs="仿宋" w:asciiTheme="minorEastAsia" w:hAnsiTheme="minorEastAsia" w:eastAsiaTheme="minorEastAsia"/>
          <w:kern w:val="0"/>
          <w:szCs w:val="21"/>
          <w:highlight w:val="none"/>
        </w:rPr>
        <w:t>环保</w:t>
      </w:r>
      <w:r>
        <w:rPr>
          <w:rFonts w:cs="仿宋" w:asciiTheme="minorEastAsia" w:hAnsiTheme="minorEastAsia" w:eastAsiaTheme="minorEastAsia"/>
          <w:kern w:val="0"/>
          <w:szCs w:val="21"/>
          <w:highlight w:val="none"/>
          <w:lang w:val="zh-CN"/>
        </w:rPr>
        <w:t>事故，一切责任</w:t>
      </w:r>
      <w:r>
        <w:rPr>
          <w:rFonts w:cs="仿宋" w:asciiTheme="minorEastAsia" w:hAnsiTheme="minorEastAsia" w:eastAsiaTheme="minorEastAsia"/>
          <w:kern w:val="0"/>
          <w:szCs w:val="21"/>
          <w:highlight w:val="none"/>
        </w:rPr>
        <w:t>和造成损失</w:t>
      </w:r>
      <w:r>
        <w:rPr>
          <w:rFonts w:cs="仿宋" w:asciiTheme="minorEastAsia" w:hAnsiTheme="minorEastAsia" w:eastAsiaTheme="minorEastAsia"/>
          <w:kern w:val="0"/>
          <w:szCs w:val="21"/>
          <w:highlight w:val="none"/>
          <w:lang w:val="zh-CN"/>
        </w:rPr>
        <w:t>由</w:t>
      </w:r>
      <w:r>
        <w:rPr>
          <w:rFonts w:cs="仿宋" w:asciiTheme="minorEastAsia" w:hAnsiTheme="minorEastAsia" w:eastAsiaTheme="minorEastAsia"/>
          <w:kern w:val="0"/>
          <w:szCs w:val="21"/>
          <w:highlight w:val="none"/>
        </w:rPr>
        <w:t>乙</w:t>
      </w:r>
      <w:r>
        <w:rPr>
          <w:rFonts w:cs="仿宋" w:asciiTheme="minorEastAsia" w:hAnsiTheme="minorEastAsia" w:eastAsiaTheme="minorEastAsia"/>
          <w:kern w:val="0"/>
          <w:szCs w:val="21"/>
          <w:highlight w:val="none"/>
          <w:lang w:val="zh-CN"/>
        </w:rPr>
        <w:t>方承担。</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5.乙方须</w:t>
      </w:r>
      <w:r>
        <w:rPr>
          <w:rFonts w:cs="仿宋" w:asciiTheme="minorEastAsia" w:hAnsiTheme="minorEastAsia" w:eastAsiaTheme="minorEastAsia"/>
          <w:kern w:val="0"/>
          <w:szCs w:val="21"/>
          <w:highlight w:val="none"/>
          <w:lang w:val="zh-CN"/>
        </w:rPr>
        <w:t>妥善保存与甲方业务往来之所有单据及证明，包括签收单、运单、收据等, 以备甲方查帐、核实，同时也是甲乙双方</w:t>
      </w:r>
      <w:r>
        <w:rPr>
          <w:rFonts w:cs="仿宋" w:asciiTheme="minorEastAsia" w:hAnsiTheme="minorEastAsia" w:eastAsiaTheme="minorEastAsia"/>
          <w:kern w:val="0"/>
          <w:szCs w:val="21"/>
          <w:highlight w:val="none"/>
        </w:rPr>
        <w:t>运</w:t>
      </w:r>
      <w:r>
        <w:rPr>
          <w:rFonts w:cs="仿宋" w:asciiTheme="minorEastAsia" w:hAnsiTheme="minorEastAsia" w:eastAsiaTheme="minorEastAsia"/>
          <w:kern w:val="0"/>
          <w:szCs w:val="21"/>
          <w:highlight w:val="none"/>
          <w:lang w:val="zh-CN"/>
        </w:rPr>
        <w:t>费结算的重要凭据。</w:t>
      </w:r>
      <w:r>
        <w:rPr>
          <w:rFonts w:cs="仿宋" w:asciiTheme="minorEastAsia" w:hAnsiTheme="minorEastAsia" w:eastAsiaTheme="minorEastAsia"/>
          <w:kern w:val="0"/>
          <w:szCs w:val="21"/>
          <w:highlight w:val="none"/>
        </w:rPr>
        <w:t>乙方应</w:t>
      </w:r>
      <w:r>
        <w:rPr>
          <w:rFonts w:cs="仿宋" w:asciiTheme="minorEastAsia" w:hAnsiTheme="minorEastAsia" w:eastAsiaTheme="minorEastAsia"/>
          <w:kern w:val="0"/>
          <w:szCs w:val="21"/>
          <w:highlight w:val="none"/>
          <w:lang w:val="zh-CN"/>
        </w:rPr>
        <w:t>对甲方提供的各种文件、资料及有关的商业信息予以保密。</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6.</w:t>
      </w:r>
      <w:r>
        <w:rPr>
          <w:rFonts w:cs="仿宋" w:asciiTheme="minorEastAsia" w:hAnsiTheme="minorEastAsia" w:eastAsiaTheme="minorEastAsia"/>
          <w:kern w:val="0"/>
          <w:szCs w:val="21"/>
          <w:highlight w:val="none"/>
          <w:lang w:val="zh-CN"/>
        </w:rPr>
        <w:t>乙方运输船舶必须严格执行运输管理部门、监督部门的规定，接受运输管理部门的现场</w:t>
      </w:r>
      <w:r>
        <w:rPr>
          <w:rFonts w:cs="仿宋" w:asciiTheme="minorEastAsia" w:hAnsiTheme="minorEastAsia" w:eastAsiaTheme="minorEastAsia"/>
          <w:kern w:val="0"/>
          <w:szCs w:val="21"/>
          <w:highlight w:val="none"/>
        </w:rPr>
        <w:t>安全检查</w:t>
      </w:r>
      <w:r>
        <w:rPr>
          <w:rFonts w:cs="仿宋" w:asciiTheme="minorEastAsia" w:hAnsiTheme="minorEastAsia" w:eastAsiaTheme="minorEastAsia"/>
          <w:kern w:val="0"/>
          <w:szCs w:val="21"/>
          <w:highlight w:val="none"/>
          <w:lang w:val="zh-CN"/>
        </w:rPr>
        <w:t>。</w:t>
      </w:r>
    </w:p>
    <w:p>
      <w:pPr>
        <w:widowControl/>
        <w:adjustRightInd w:val="0"/>
        <w:snapToGrid w:val="0"/>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7</w:t>
      </w:r>
      <w:r>
        <w:rPr>
          <w:rFonts w:cs="仿宋" w:asciiTheme="minorEastAsia" w:hAnsiTheme="minorEastAsia" w:eastAsiaTheme="minorEastAsia"/>
          <w:kern w:val="0"/>
          <w:szCs w:val="21"/>
          <w:highlight w:val="none"/>
          <w:lang w:val="zh-CN"/>
        </w:rPr>
        <w:t>.乙方须对船舶做好预防性维护并定期对船舶进行检查和检测，确保船舶性能良好。船舶进场前，必须做好运输前准备工作，确保船舶设备性能良好，进入装</w:t>
      </w:r>
      <w:r>
        <w:rPr>
          <w:rFonts w:cs="仿宋" w:asciiTheme="minorEastAsia" w:hAnsiTheme="minorEastAsia" w:eastAsiaTheme="minorEastAsia"/>
          <w:kern w:val="0"/>
          <w:szCs w:val="21"/>
          <w:highlight w:val="none"/>
        </w:rPr>
        <w:t>/卸</w:t>
      </w:r>
      <w:r>
        <w:rPr>
          <w:rFonts w:cs="仿宋" w:asciiTheme="minorEastAsia" w:hAnsiTheme="minorEastAsia" w:eastAsiaTheme="minorEastAsia"/>
          <w:kern w:val="0"/>
          <w:szCs w:val="21"/>
          <w:highlight w:val="none"/>
          <w:lang w:val="zh-CN"/>
        </w:rPr>
        <w:t>货区域，乙方应严格遵守甲方及甲方客户的规章制度，在指定的码头</w:t>
      </w:r>
      <w:r>
        <w:rPr>
          <w:rFonts w:cs="仿宋" w:asciiTheme="minorEastAsia" w:hAnsiTheme="minorEastAsia" w:eastAsiaTheme="minorEastAsia"/>
          <w:kern w:val="0"/>
          <w:szCs w:val="21"/>
          <w:highlight w:val="none"/>
        </w:rPr>
        <w:t>装卸货物</w:t>
      </w:r>
      <w:r>
        <w:rPr>
          <w:rFonts w:cs="仿宋" w:asciiTheme="minorEastAsia" w:hAnsiTheme="minorEastAsia" w:eastAsiaTheme="minorEastAsia"/>
          <w:kern w:val="0"/>
          <w:szCs w:val="21"/>
          <w:highlight w:val="none"/>
          <w:lang w:val="zh-CN"/>
        </w:rPr>
        <w:t>，不得擅自进入生产区域。无故不听从者，甲方有权要求乙方更换船员</w:t>
      </w:r>
      <w:r>
        <w:rPr>
          <w:rFonts w:cs="仿宋" w:asciiTheme="minorEastAsia" w:hAnsiTheme="minorEastAsia" w:eastAsiaTheme="minorEastAsia"/>
          <w:kern w:val="0"/>
          <w:szCs w:val="21"/>
          <w:highlight w:val="none"/>
        </w:rPr>
        <w:t xml:space="preserve">并进行违约处罚 </w:t>
      </w:r>
      <w:r>
        <w:rPr>
          <w:rFonts w:cs="仿宋" w:asciiTheme="minorEastAsia" w:hAnsiTheme="minorEastAsia" w:eastAsiaTheme="minorEastAsia"/>
          <w:kern w:val="0"/>
          <w:szCs w:val="21"/>
          <w:highlight w:val="none"/>
          <w:lang w:val="zh-CN"/>
        </w:rPr>
        <w:t>。</w:t>
      </w:r>
    </w:p>
    <w:p>
      <w:pPr>
        <w:widowControl/>
        <w:adjustRightInd w:val="0"/>
        <w:snapToGrid w:val="0"/>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8</w:t>
      </w:r>
      <w:r>
        <w:rPr>
          <w:rFonts w:cs="仿宋" w:asciiTheme="minorEastAsia" w:hAnsiTheme="minorEastAsia" w:eastAsiaTheme="minorEastAsia"/>
          <w:kern w:val="0"/>
          <w:szCs w:val="21"/>
          <w:highlight w:val="none"/>
          <w:lang w:val="zh-CN"/>
        </w:rPr>
        <w:t>.乙方在</w:t>
      </w:r>
      <w:bookmarkStart w:id="511" w:name="_Hlk57894595"/>
      <w:r>
        <w:rPr>
          <w:rFonts w:cs="仿宋" w:asciiTheme="minorEastAsia" w:hAnsiTheme="minorEastAsia" w:eastAsiaTheme="minorEastAsia"/>
          <w:kern w:val="0"/>
          <w:szCs w:val="21"/>
          <w:highlight w:val="none"/>
          <w:lang w:val="zh-CN"/>
        </w:rPr>
        <w:t>交接货装卸现场</w:t>
      </w:r>
      <w:bookmarkEnd w:id="511"/>
      <w:r>
        <w:rPr>
          <w:rFonts w:cs="仿宋" w:asciiTheme="minorEastAsia" w:hAnsiTheme="minorEastAsia" w:eastAsiaTheme="minorEastAsia"/>
          <w:kern w:val="0"/>
          <w:szCs w:val="21"/>
          <w:highlight w:val="none"/>
          <w:lang w:val="zh-CN"/>
        </w:rPr>
        <w:t>及运输过程中必须谨慎小心，穿戴好</w:t>
      </w:r>
      <w:r>
        <w:rPr>
          <w:rFonts w:cs="仿宋" w:asciiTheme="minorEastAsia" w:hAnsiTheme="minorEastAsia" w:eastAsiaTheme="minorEastAsia"/>
          <w:kern w:val="0"/>
          <w:szCs w:val="21"/>
          <w:highlight w:val="none"/>
        </w:rPr>
        <w:t>安全</w:t>
      </w:r>
      <w:r>
        <w:rPr>
          <w:rFonts w:cs="仿宋" w:asciiTheme="minorEastAsia" w:hAnsiTheme="minorEastAsia" w:eastAsiaTheme="minorEastAsia"/>
          <w:kern w:val="0"/>
          <w:szCs w:val="21"/>
          <w:highlight w:val="none"/>
          <w:lang w:val="zh-CN"/>
        </w:rPr>
        <w:t>防护用品，防止因操作不当导致货物的跌落、泄漏等而造成的人身伤害和环境污染。乙方人员作业过程中不得携带火种、饮酒及服用药物。</w:t>
      </w:r>
    </w:p>
    <w:p>
      <w:pPr>
        <w:widowControl/>
        <w:adjustRightInd w:val="0"/>
        <w:snapToGrid w:val="0"/>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9</w:t>
      </w:r>
      <w:r>
        <w:rPr>
          <w:rFonts w:cs="仿宋" w:asciiTheme="minorEastAsia" w:hAnsiTheme="minorEastAsia" w:eastAsiaTheme="minorEastAsia"/>
          <w:kern w:val="0"/>
          <w:szCs w:val="21"/>
          <w:highlight w:val="none"/>
          <w:lang w:val="zh-CN"/>
        </w:rPr>
        <w:t>.货物绑扎材料应由</w:t>
      </w:r>
      <w:r>
        <w:rPr>
          <w:rFonts w:cs="仿宋" w:asciiTheme="minorEastAsia" w:hAnsiTheme="minorEastAsia" w:eastAsiaTheme="minorEastAsia"/>
          <w:kern w:val="0"/>
          <w:szCs w:val="21"/>
          <w:highlight w:val="none"/>
        </w:rPr>
        <w:t>乙</w:t>
      </w:r>
      <w:r>
        <w:rPr>
          <w:rFonts w:cs="仿宋" w:asciiTheme="minorEastAsia" w:hAnsiTheme="minorEastAsia" w:eastAsiaTheme="minorEastAsia"/>
          <w:kern w:val="0"/>
          <w:szCs w:val="21"/>
          <w:highlight w:val="none"/>
          <w:lang w:val="zh-CN"/>
        </w:rPr>
        <w:t>方负责。货物配载时，不得将属性不同的货物进行同船配载。货物的放置及牢固绑扎由乙方负责，乙方需</w:t>
      </w:r>
      <w:r>
        <w:rPr>
          <w:rFonts w:hint="eastAsia" w:cs="仿宋" w:asciiTheme="minorEastAsia" w:hAnsiTheme="minorEastAsia" w:eastAsiaTheme="minorEastAsia"/>
          <w:kern w:val="0"/>
          <w:szCs w:val="21"/>
          <w:highlight w:val="none"/>
          <w:lang w:val="zh-CN"/>
        </w:rPr>
        <w:t>按照</w:t>
      </w:r>
      <w:r>
        <w:rPr>
          <w:rFonts w:cs="仿宋" w:asciiTheme="minorEastAsia" w:hAnsiTheme="minorEastAsia" w:eastAsiaTheme="minorEastAsia"/>
          <w:kern w:val="0"/>
          <w:szCs w:val="21"/>
          <w:highlight w:val="none"/>
          <w:lang w:val="zh-CN"/>
        </w:rPr>
        <w:t>装船、运输相关要求进行操作。存在因转运而需临时存放的货物，必须按照当地的法律法规进行存储和隔离，参与货物转移和临时存放的人员必须经过相应的培训，在操作时必须做好个人防护措施。</w:t>
      </w:r>
    </w:p>
    <w:p>
      <w:pPr>
        <w:widowControl/>
        <w:adjustRightInd w:val="0"/>
        <w:snapToGrid w:val="0"/>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10</w:t>
      </w:r>
      <w:r>
        <w:rPr>
          <w:rFonts w:cs="仿宋" w:asciiTheme="minorEastAsia" w:hAnsiTheme="minorEastAsia" w:eastAsiaTheme="minorEastAsia"/>
          <w:kern w:val="0"/>
          <w:szCs w:val="21"/>
          <w:highlight w:val="none"/>
          <w:lang w:val="zh-CN"/>
        </w:rPr>
        <w:t>.船舶进入甲方指定的装运范围所有的安全管理和教育由乙方负责，同时乙方人员及船舶必须服从甲方管理要求。乙方船舶必须服从甲方指定人员的指挥调度，保证提供优质服务，乙方船员</w:t>
      </w:r>
      <w:r>
        <w:rPr>
          <w:rFonts w:cs="仿宋" w:asciiTheme="minorEastAsia" w:hAnsiTheme="minorEastAsia" w:eastAsiaTheme="minorEastAsia"/>
          <w:kern w:val="0"/>
          <w:szCs w:val="21"/>
          <w:highlight w:val="none"/>
        </w:rPr>
        <w:t>驾驶人员</w:t>
      </w:r>
      <w:r>
        <w:rPr>
          <w:rFonts w:cs="仿宋" w:asciiTheme="minorEastAsia" w:hAnsiTheme="minorEastAsia" w:eastAsiaTheme="minorEastAsia"/>
          <w:kern w:val="0"/>
          <w:szCs w:val="21"/>
          <w:highlight w:val="none"/>
          <w:lang w:val="zh-CN"/>
        </w:rPr>
        <w:t>如有故意刁难、个人借故索要额外报酬或个人有其它违规行为，甲方有义务向乙方提出处理意见，乙方有责任立即核实，并切实解决。</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11</w:t>
      </w:r>
      <w:r>
        <w:rPr>
          <w:rFonts w:cs="仿宋" w:asciiTheme="minorEastAsia" w:hAnsiTheme="minorEastAsia" w:eastAsiaTheme="minorEastAsia"/>
          <w:kern w:val="0"/>
          <w:szCs w:val="21"/>
          <w:highlight w:val="none"/>
          <w:lang w:val="zh-CN"/>
        </w:rPr>
        <w:t>.乙方必须做好货物装运及捆绑等安全措施，并做好货物的跟踪，确保向甲方提供真实、准确的船舶、码头或港口等信息。船舶上人员应保持24小时通讯畅通，便于随时接受甲方人员的途中监控。</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12</w:t>
      </w:r>
      <w:r>
        <w:rPr>
          <w:rFonts w:cs="仿宋" w:asciiTheme="minorEastAsia" w:hAnsiTheme="minorEastAsia" w:eastAsiaTheme="minorEastAsia"/>
          <w:kern w:val="0"/>
          <w:szCs w:val="21"/>
          <w:highlight w:val="none"/>
          <w:lang w:val="zh-CN"/>
        </w:rPr>
        <w:t>.卸船时接货双方应认真清点好各种产品的型号</w:t>
      </w:r>
      <w:r>
        <w:rPr>
          <w:rFonts w:hint="eastAsia" w:cs="仿宋" w:asciiTheme="minorEastAsia" w:hAnsiTheme="minorEastAsia" w:eastAsiaTheme="minorEastAsia"/>
          <w:kern w:val="0"/>
          <w:szCs w:val="21"/>
          <w:highlight w:val="none"/>
          <w:lang w:val="zh-CN"/>
        </w:rPr>
        <w:t>规格</w:t>
      </w:r>
      <w:r>
        <w:rPr>
          <w:rFonts w:cs="仿宋" w:asciiTheme="minorEastAsia" w:hAnsiTheme="minorEastAsia" w:eastAsiaTheme="minorEastAsia"/>
          <w:kern w:val="0"/>
          <w:szCs w:val="21"/>
          <w:highlight w:val="none"/>
          <w:lang w:val="zh-CN"/>
        </w:rPr>
        <w:t>和数量，以及货物的完好程度。卸船、</w:t>
      </w:r>
      <w:r>
        <w:rPr>
          <w:rFonts w:cs="仿宋" w:asciiTheme="minorEastAsia" w:hAnsiTheme="minorEastAsia" w:eastAsiaTheme="minorEastAsia"/>
          <w:kern w:val="0"/>
          <w:szCs w:val="21"/>
          <w:highlight w:val="none"/>
        </w:rPr>
        <w:t>卸货</w:t>
      </w:r>
      <w:r>
        <w:rPr>
          <w:rFonts w:cs="仿宋" w:asciiTheme="minorEastAsia" w:hAnsiTheme="minorEastAsia" w:eastAsiaTheme="minorEastAsia"/>
          <w:kern w:val="0"/>
          <w:szCs w:val="21"/>
          <w:highlight w:val="none"/>
          <w:lang w:val="zh-CN"/>
        </w:rPr>
        <w:t>完毕后，须按照甲方规定做好回单签收。乙方应妥善保管回单，并且在甲方客户要求的时间内带回甲方。如有货物在交接时有破损、短少、</w:t>
      </w:r>
      <w:r>
        <w:rPr>
          <w:rFonts w:hint="eastAsia" w:cs="仿宋" w:asciiTheme="minorEastAsia" w:hAnsiTheme="minorEastAsia" w:eastAsiaTheme="minorEastAsia"/>
          <w:kern w:val="0"/>
          <w:szCs w:val="21"/>
          <w:highlight w:val="none"/>
          <w:lang w:val="zh-CN"/>
        </w:rPr>
        <w:t>型号</w:t>
      </w:r>
      <w:r>
        <w:rPr>
          <w:rFonts w:cs="仿宋" w:asciiTheme="minorEastAsia" w:hAnsiTheme="minorEastAsia" w:eastAsiaTheme="minorEastAsia"/>
          <w:kern w:val="0"/>
          <w:szCs w:val="21"/>
          <w:highlight w:val="none"/>
          <w:lang w:val="zh-CN"/>
        </w:rPr>
        <w:t>规格不符等原因时，收货单位人员应在回单上写明，双方确认签字，办理交接，由此造成的损失由乙方承担。</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1</w:t>
      </w:r>
      <w:r>
        <w:rPr>
          <w:rFonts w:cs="仿宋" w:asciiTheme="minorEastAsia" w:hAnsiTheme="minorEastAsia" w:eastAsiaTheme="minorEastAsia"/>
          <w:kern w:val="0"/>
          <w:szCs w:val="21"/>
          <w:highlight w:val="none"/>
        </w:rPr>
        <w:t>3</w:t>
      </w:r>
      <w:r>
        <w:rPr>
          <w:rFonts w:cs="仿宋" w:asciiTheme="minorEastAsia" w:hAnsiTheme="minorEastAsia" w:eastAsiaTheme="minorEastAsia"/>
          <w:kern w:val="0"/>
          <w:szCs w:val="21"/>
          <w:highlight w:val="none"/>
          <w:lang w:val="zh-CN"/>
        </w:rPr>
        <w:t>.乙方应在到货</w:t>
      </w:r>
      <w:r>
        <w:rPr>
          <w:rFonts w:cs="仿宋" w:asciiTheme="minorEastAsia" w:hAnsiTheme="minorEastAsia" w:eastAsiaTheme="minorEastAsia"/>
          <w:b/>
          <w:bCs/>
          <w:color w:val="000000" w:themeColor="text1"/>
          <w:szCs w:val="21"/>
          <w:highlight w:val="none"/>
          <w:u w:val="single"/>
          <w14:textFill>
            <w14:solidFill>
              <w14:schemeClr w14:val="tx1"/>
            </w14:solidFill>
          </w14:textFill>
        </w:rPr>
        <w:t>前按甲方所下达运送指令要求的时间前</w:t>
      </w:r>
      <w:r>
        <w:rPr>
          <w:rFonts w:cs="仿宋" w:asciiTheme="minorEastAsia" w:hAnsiTheme="minorEastAsia" w:eastAsiaTheme="minorEastAsia"/>
          <w:kern w:val="0"/>
          <w:szCs w:val="21"/>
          <w:highlight w:val="none"/>
          <w:lang w:val="zh-CN"/>
        </w:rPr>
        <w:t>通知收货方，以便收货方及时组织卸货。预计不能按时到达，乙方应立即以短</w:t>
      </w:r>
      <w:r>
        <w:rPr>
          <w:rFonts w:cs="仿宋" w:asciiTheme="minorEastAsia" w:hAnsiTheme="minorEastAsia" w:eastAsiaTheme="minorEastAsia"/>
          <w:kern w:val="0"/>
          <w:szCs w:val="21"/>
          <w:highlight w:val="none"/>
        </w:rPr>
        <w:t>信</w:t>
      </w:r>
      <w:r>
        <w:rPr>
          <w:rFonts w:cs="仿宋" w:asciiTheme="minorEastAsia" w:hAnsiTheme="minorEastAsia" w:eastAsiaTheme="minorEastAsia"/>
          <w:kern w:val="0"/>
          <w:szCs w:val="21"/>
          <w:highlight w:val="none"/>
          <w:lang w:val="zh-CN"/>
        </w:rPr>
        <w:t>息、微信等书面通知甲方，以便进行调整，甲方有权按照客户的考核相应考核乙方。运输过程中，由于乙方船舶故障，乙方应及时通知甲方并及时安排专业人员维修或更换船舶，影响甲方运输计划</w:t>
      </w:r>
      <w:r>
        <w:rPr>
          <w:rFonts w:cs="仿宋" w:asciiTheme="minorEastAsia" w:hAnsiTheme="minorEastAsia" w:eastAsiaTheme="minorEastAsia"/>
          <w:kern w:val="0"/>
          <w:szCs w:val="21"/>
          <w:highlight w:val="none"/>
        </w:rPr>
        <w:t>执行</w:t>
      </w:r>
      <w:r>
        <w:rPr>
          <w:rFonts w:cs="仿宋" w:asciiTheme="minorEastAsia" w:hAnsiTheme="minorEastAsia" w:eastAsiaTheme="minorEastAsia"/>
          <w:kern w:val="0"/>
          <w:szCs w:val="21"/>
          <w:highlight w:val="none"/>
          <w:lang w:val="zh-CN"/>
        </w:rPr>
        <w:t>，造成的损失由乙方承担，因乙方原因更换船舶所产生的费用由乙方承担。</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14</w:t>
      </w:r>
      <w:r>
        <w:rPr>
          <w:rFonts w:cs="仿宋" w:asciiTheme="minorEastAsia" w:hAnsiTheme="minorEastAsia" w:eastAsiaTheme="minorEastAsia"/>
          <w:kern w:val="0"/>
          <w:szCs w:val="21"/>
          <w:highlight w:val="none"/>
          <w:lang w:val="zh-CN"/>
        </w:rPr>
        <w:t>.乙方须对船员及</w:t>
      </w:r>
      <w:r>
        <w:rPr>
          <w:rFonts w:cs="仿宋" w:asciiTheme="minorEastAsia" w:hAnsiTheme="minorEastAsia" w:eastAsiaTheme="minorEastAsia"/>
          <w:kern w:val="0"/>
          <w:szCs w:val="21"/>
          <w:highlight w:val="none"/>
        </w:rPr>
        <w:t>货物装卸作业（如有）等</w:t>
      </w:r>
      <w:r>
        <w:rPr>
          <w:rFonts w:cs="仿宋" w:asciiTheme="minorEastAsia" w:hAnsiTheme="minorEastAsia" w:eastAsiaTheme="minorEastAsia"/>
          <w:kern w:val="0"/>
          <w:szCs w:val="21"/>
          <w:highlight w:val="none"/>
          <w:lang w:val="zh-CN"/>
        </w:rPr>
        <w:t>操作人员进行安全教育，确保满足质量、职业健康安全管理、环境管理体系运行要求。</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15.</w:t>
      </w:r>
      <w:bookmarkStart w:id="512" w:name="_Hlk57895288"/>
      <w:r>
        <w:rPr>
          <w:rFonts w:cs="仿宋" w:asciiTheme="minorEastAsia" w:hAnsiTheme="minorEastAsia" w:eastAsiaTheme="minorEastAsia"/>
          <w:kern w:val="0"/>
          <w:szCs w:val="21"/>
          <w:highlight w:val="none"/>
        </w:rPr>
        <w:t>乙方在每批次货物发运前，必须为运输货物办理保险，保险受益人为甲方。乙方须在每次发运前将保险单复印件提供给甲方。</w:t>
      </w:r>
      <w:bookmarkEnd w:id="512"/>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16.乙方承运货物期间，对货物的安全和质量负责，运输途中所造成的货物损失，包括不限于货物灭失、货物失窃、货物受潮变质等，由乙方按照甲方货物的实际销售价格向甲方进行赔偿，若由此对甲方造成其他损失，还应当承担相应的赔偿责任，包括但不限于因处置货损问题产生的全部费用以及因第三方索赔而支付的赔偿金等。</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17.货物到达目的地，乙方应在第一时间将货物送至收货人，不得以任何原因暂扣所承运的货物。若暂扣所承运的货物，导致甲方收货人延误收货而索赔，则乙方须承担因此而引起的一切责任。</w:t>
      </w:r>
    </w:p>
    <w:p>
      <w:pPr>
        <w:widowControl/>
        <w:tabs>
          <w:tab w:val="left" w:pos="709"/>
          <w:tab w:val="left" w:pos="993"/>
        </w:tabs>
        <w:spacing w:line="360" w:lineRule="auto"/>
        <w:ind w:firstLine="420" w:firstLineChars="200"/>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18.乙方须根据甲方的要求完成运输工作，并承担为保障运输工作顺利进行而产生的费用，包括但不限于：安装甲方或厂家指定的GPS等设备，船舶车辆检修，购买保险等。</w:t>
      </w:r>
    </w:p>
    <w:p>
      <w:pPr>
        <w:widowControl/>
        <w:tabs>
          <w:tab w:val="left" w:pos="709"/>
          <w:tab w:val="left" w:pos="993"/>
        </w:tabs>
        <w:spacing w:line="360" w:lineRule="auto"/>
        <w:ind w:firstLine="420" w:firstLineChars="200"/>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19.乙方运输船只在甲方指定水上加油站加油。油料价格参照当地陆上中石化挂牌批发价执行，油料费由甲方在每次的运费结算金额中扣除，扣除比例不超过当次运费结算金额50%，超出部分由乙方直接向油料供应方支付费用。</w:t>
      </w:r>
    </w:p>
    <w:p>
      <w:pPr>
        <w:widowControl/>
        <w:tabs>
          <w:tab w:val="left" w:pos="709"/>
          <w:tab w:val="left" w:pos="993"/>
        </w:tabs>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rPr>
        <w:t xml:space="preserve">第四条 </w:t>
      </w:r>
      <w:r>
        <w:rPr>
          <w:rFonts w:cs="仿宋" w:asciiTheme="minorEastAsia" w:hAnsiTheme="minorEastAsia" w:eastAsiaTheme="minorEastAsia"/>
          <w:b/>
          <w:bCs/>
          <w:kern w:val="0"/>
          <w:szCs w:val="21"/>
          <w:highlight w:val="none"/>
          <w:lang w:val="zh-CN"/>
        </w:rPr>
        <w:t>违约及索赔</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lang w:val="zh-CN"/>
        </w:rPr>
        <w:t>1.</w:t>
      </w:r>
      <w:r>
        <w:rPr>
          <w:rFonts w:cs="仿宋" w:asciiTheme="minorEastAsia" w:hAnsiTheme="minorEastAsia" w:eastAsiaTheme="minorEastAsia"/>
          <w:kern w:val="0"/>
          <w:szCs w:val="21"/>
          <w:highlight w:val="none"/>
        </w:rPr>
        <w:t>乙方在未征询甲方意见，且双方未协商并达成一致时，乙方无权单方面中止或解除合同。若乙方在未征询甲方意见，且双方未协商并达成一致时，停止船舶运输，</w:t>
      </w:r>
      <w:r>
        <w:rPr>
          <w:rFonts w:cs="仿宋" w:asciiTheme="minorEastAsia" w:hAnsiTheme="minorEastAsia" w:eastAsiaTheme="minorEastAsia"/>
          <w:color w:val="000000" w:themeColor="text1"/>
          <w:szCs w:val="21"/>
          <w:highlight w:val="none"/>
          <w14:textFill>
            <w14:solidFill>
              <w14:schemeClr w14:val="tx1"/>
            </w14:solidFill>
          </w14:textFill>
        </w:rPr>
        <w:t>甲方将不退还其履约保证金，同时乙方须赔偿甲方剩余合同金额</w:t>
      </w:r>
      <w:r>
        <w:rPr>
          <w:rFonts w:cs="仿宋" w:asciiTheme="minorEastAsia" w:hAnsiTheme="minorEastAsia" w:eastAsiaTheme="minorEastAsia"/>
          <w:kern w:val="0"/>
          <w:szCs w:val="21"/>
          <w:highlight w:val="none"/>
        </w:rPr>
        <w:t>的</w:t>
      </w:r>
      <w:r>
        <w:rPr>
          <w:rFonts w:cs="仿宋" w:asciiTheme="minorEastAsia" w:hAnsiTheme="minorEastAsia" w:eastAsiaTheme="minorEastAsia"/>
          <w:kern w:val="0"/>
          <w:szCs w:val="21"/>
          <w:highlight w:val="none"/>
          <w:u w:val="single"/>
        </w:rPr>
        <w:t>50%的违约金</w:t>
      </w:r>
      <w:r>
        <w:rPr>
          <w:rFonts w:cs="仿宋" w:asciiTheme="minorEastAsia" w:hAnsiTheme="minorEastAsia" w:eastAsiaTheme="minorEastAsia"/>
          <w:kern w:val="0"/>
          <w:szCs w:val="21"/>
          <w:highlight w:val="none"/>
          <w:lang w:val="zh-CN"/>
        </w:rPr>
        <w:t>并</w:t>
      </w:r>
      <w:r>
        <w:rPr>
          <w:rFonts w:cs="仿宋" w:asciiTheme="minorEastAsia" w:hAnsiTheme="minorEastAsia" w:eastAsiaTheme="minorEastAsia"/>
          <w:kern w:val="0"/>
          <w:szCs w:val="21"/>
          <w:highlight w:val="none"/>
        </w:rPr>
        <w:t>承担相应的</w:t>
      </w:r>
      <w:r>
        <w:rPr>
          <w:rFonts w:cs="仿宋" w:asciiTheme="minorEastAsia" w:hAnsiTheme="minorEastAsia" w:eastAsiaTheme="minorEastAsia"/>
          <w:kern w:val="0"/>
          <w:szCs w:val="21"/>
          <w:highlight w:val="none"/>
          <w:lang w:val="zh-CN"/>
        </w:rPr>
        <w:t>法律责任。</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2.</w:t>
      </w:r>
      <w:r>
        <w:rPr>
          <w:rFonts w:cs="仿宋" w:asciiTheme="minorEastAsia" w:hAnsiTheme="minorEastAsia" w:eastAsiaTheme="minorEastAsia"/>
          <w:kern w:val="0"/>
          <w:szCs w:val="21"/>
          <w:highlight w:val="none"/>
          <w:lang w:val="zh-CN"/>
        </w:rPr>
        <w:t>乙方承运货物期间，对货物的安全和质量负责，运输途中所造成的货物损失，包括不限于货物灭失、货物失窃、货物受潮变质等，由乙方按照</w:t>
      </w:r>
      <w:r>
        <w:rPr>
          <w:rFonts w:cs="仿宋" w:asciiTheme="minorEastAsia" w:hAnsiTheme="minorEastAsia" w:eastAsiaTheme="minorEastAsia"/>
          <w:kern w:val="0"/>
          <w:szCs w:val="21"/>
          <w:highlight w:val="none"/>
        </w:rPr>
        <w:t>甲方</w:t>
      </w:r>
      <w:r>
        <w:rPr>
          <w:rFonts w:cs="仿宋" w:asciiTheme="minorEastAsia" w:hAnsiTheme="minorEastAsia" w:eastAsiaTheme="minorEastAsia"/>
          <w:kern w:val="0"/>
          <w:szCs w:val="21"/>
          <w:highlight w:val="none"/>
          <w:lang w:val="zh-CN"/>
        </w:rPr>
        <w:t>货物</w:t>
      </w:r>
      <w:r>
        <w:rPr>
          <w:rFonts w:cs="仿宋" w:asciiTheme="minorEastAsia" w:hAnsiTheme="minorEastAsia" w:eastAsiaTheme="minorEastAsia"/>
          <w:kern w:val="0"/>
          <w:szCs w:val="21"/>
          <w:highlight w:val="none"/>
        </w:rPr>
        <w:t>销售</w:t>
      </w:r>
      <w:r>
        <w:rPr>
          <w:rFonts w:cs="仿宋" w:asciiTheme="minorEastAsia" w:hAnsiTheme="minorEastAsia" w:eastAsiaTheme="minorEastAsia"/>
          <w:kern w:val="0"/>
          <w:szCs w:val="21"/>
          <w:highlight w:val="none"/>
          <w:lang w:val="zh-CN"/>
        </w:rPr>
        <w:t>实际价格向甲方进行赔偿，若由此对甲方造成其他损失，还应当承担相应的赔偿责任，包括但不限于因处置货损问题产生的全部费用以及因第三方索赔而支付的赔偿金等。 如乙方人员盗卖甲方货物造成甲方损失的，由乙方足额赔偿并处罚款</w:t>
      </w:r>
      <w:r>
        <w:rPr>
          <w:rFonts w:cs="仿宋" w:asciiTheme="minorEastAsia" w:hAnsiTheme="minorEastAsia" w:eastAsiaTheme="minorEastAsia"/>
          <w:kern w:val="0"/>
          <w:szCs w:val="21"/>
          <w:highlight w:val="none"/>
          <w:u w:val="single"/>
        </w:rPr>
        <w:t>20000</w:t>
      </w:r>
      <w:r>
        <w:rPr>
          <w:rFonts w:cs="仿宋" w:asciiTheme="minorEastAsia" w:hAnsiTheme="minorEastAsia" w:eastAsiaTheme="minorEastAsia"/>
          <w:kern w:val="0"/>
          <w:szCs w:val="21"/>
          <w:highlight w:val="none"/>
          <w:lang w:val="zh-CN"/>
        </w:rPr>
        <w:t>元；乙方送到货后须向甲方提供生产厂家的原始单据，不允许换票串户，乙方人员不得串通甲方现场人员篡改单据、偷盗货物，若有发生每次处罚</w:t>
      </w:r>
      <w:r>
        <w:rPr>
          <w:rFonts w:cs="仿宋" w:asciiTheme="minorEastAsia" w:hAnsiTheme="minorEastAsia" w:eastAsiaTheme="minorEastAsia"/>
          <w:kern w:val="0"/>
          <w:szCs w:val="21"/>
          <w:highlight w:val="none"/>
          <w:u w:val="single"/>
        </w:rPr>
        <w:t>10000</w:t>
      </w:r>
      <w:r>
        <w:rPr>
          <w:rFonts w:cs="仿宋" w:asciiTheme="minorEastAsia" w:hAnsiTheme="minorEastAsia" w:eastAsiaTheme="minorEastAsia"/>
          <w:kern w:val="0"/>
          <w:szCs w:val="21"/>
          <w:highlight w:val="none"/>
          <w:lang w:val="zh-CN"/>
        </w:rPr>
        <w:t>元并追究法律责任。</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3.</w:t>
      </w:r>
      <w:r>
        <w:rPr>
          <w:rFonts w:cs="仿宋" w:asciiTheme="minorEastAsia" w:hAnsiTheme="minorEastAsia" w:eastAsiaTheme="minorEastAsia"/>
          <w:kern w:val="0"/>
          <w:szCs w:val="21"/>
          <w:highlight w:val="none"/>
          <w:lang w:val="zh-CN"/>
        </w:rPr>
        <w:t>错运交货地点、错交收货人的，甲方不承担运费，</w:t>
      </w:r>
      <w:r>
        <w:rPr>
          <w:rFonts w:cs="仿宋" w:asciiTheme="minorEastAsia" w:hAnsiTheme="minorEastAsia" w:eastAsiaTheme="minorEastAsia"/>
          <w:kern w:val="0"/>
          <w:szCs w:val="21"/>
          <w:highlight w:val="none"/>
        </w:rPr>
        <w:t>且</w:t>
      </w:r>
      <w:r>
        <w:rPr>
          <w:rFonts w:cs="仿宋" w:asciiTheme="minorEastAsia" w:hAnsiTheme="minorEastAsia" w:eastAsiaTheme="minorEastAsia"/>
          <w:kern w:val="0"/>
          <w:szCs w:val="21"/>
          <w:highlight w:val="none"/>
          <w:lang w:val="zh-CN"/>
        </w:rPr>
        <w:t>乙方应将所运货物运至合同</w:t>
      </w:r>
      <w:r>
        <w:rPr>
          <w:rFonts w:cs="仿宋" w:asciiTheme="minorEastAsia" w:hAnsiTheme="minorEastAsia" w:eastAsiaTheme="minorEastAsia"/>
          <w:kern w:val="0"/>
          <w:szCs w:val="21"/>
          <w:highlight w:val="none"/>
        </w:rPr>
        <w:t>和甲方运输指令</w:t>
      </w:r>
      <w:r>
        <w:rPr>
          <w:rFonts w:cs="仿宋" w:asciiTheme="minorEastAsia" w:hAnsiTheme="minorEastAsia" w:eastAsiaTheme="minorEastAsia"/>
          <w:kern w:val="0"/>
          <w:szCs w:val="21"/>
          <w:highlight w:val="none"/>
          <w:lang w:val="zh-CN"/>
        </w:rPr>
        <w:t>规定的到货地点及收货人，由此造成逾期交货，导致甲方客户处罚的，相应处罚由乙方承担。</w:t>
      </w:r>
    </w:p>
    <w:p>
      <w:pPr>
        <w:widowControl/>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4.</w:t>
      </w:r>
      <w:r>
        <w:rPr>
          <w:rFonts w:cs="仿宋" w:asciiTheme="minorEastAsia" w:hAnsiTheme="minorEastAsia" w:eastAsiaTheme="minorEastAsia"/>
          <w:kern w:val="0"/>
          <w:szCs w:val="21"/>
          <w:highlight w:val="none"/>
          <w:lang w:val="zh-CN"/>
        </w:rPr>
        <w:t>货物到达目的地，乙方应在第一时间将货物送至收货人，不得以任何原因暂扣所承运的货物。若暂扣所承运的货物，导致甲方收货人延误收货而索赔，则乙方须承担因此而引起的一切责任。</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5.</w:t>
      </w:r>
      <w:r>
        <w:rPr>
          <w:rFonts w:cs="仿宋" w:asciiTheme="minorEastAsia" w:hAnsiTheme="minorEastAsia" w:eastAsiaTheme="minorEastAsia"/>
          <w:kern w:val="0"/>
          <w:szCs w:val="21"/>
          <w:highlight w:val="none"/>
          <w:lang w:val="zh-CN"/>
        </w:rPr>
        <w:t>乙方应遵守甲方及甲方客户的现行</w:t>
      </w:r>
      <w:r>
        <w:rPr>
          <w:rFonts w:cs="仿宋" w:asciiTheme="minorEastAsia" w:hAnsiTheme="minorEastAsia" w:eastAsiaTheme="minorEastAsia"/>
          <w:kern w:val="0"/>
          <w:szCs w:val="21"/>
          <w:highlight w:val="none"/>
        </w:rPr>
        <w:t>规章</w:t>
      </w:r>
      <w:r>
        <w:rPr>
          <w:rFonts w:cs="仿宋" w:asciiTheme="minorEastAsia" w:hAnsiTheme="minorEastAsia" w:eastAsiaTheme="minorEastAsia"/>
          <w:kern w:val="0"/>
          <w:szCs w:val="21"/>
          <w:highlight w:val="none"/>
          <w:lang w:val="zh-CN"/>
        </w:rPr>
        <w:t>制度，服从甲方管理，若违反，甲方有权对其进行相应的考核</w:t>
      </w:r>
      <w:r>
        <w:rPr>
          <w:rFonts w:cs="仿宋" w:asciiTheme="minorEastAsia" w:hAnsiTheme="minorEastAsia" w:eastAsiaTheme="minorEastAsia"/>
          <w:kern w:val="0"/>
          <w:szCs w:val="21"/>
          <w:highlight w:val="none"/>
        </w:rPr>
        <w:t>并视情况给予处罚</w:t>
      </w:r>
      <w:r>
        <w:rPr>
          <w:rFonts w:cs="仿宋" w:asciiTheme="minorEastAsia" w:hAnsiTheme="minorEastAsia" w:eastAsiaTheme="minorEastAsia"/>
          <w:kern w:val="0"/>
          <w:szCs w:val="21"/>
          <w:highlight w:val="none"/>
          <w:lang w:val="zh-CN"/>
        </w:rPr>
        <w:t>。</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6.乙方应按照甲方下达的运输指令中所要求的货物送达时间，配合完成货物装船、在途运输、配合卸货至指定地点</w:t>
      </w: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因乙方原因未能按时将货物按时送达的，甲方将对乙方进行经济处罚，并可要求乙方赔偿因货物延时送达而造成的经济损失。</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7.乙方</w:t>
      </w:r>
      <w:r>
        <w:rPr>
          <w:rFonts w:cs="仿宋" w:asciiTheme="minorEastAsia" w:hAnsiTheme="minorEastAsia" w:eastAsiaTheme="minorEastAsia"/>
          <w:kern w:val="0"/>
          <w:szCs w:val="21"/>
          <w:highlight w:val="none"/>
          <w:lang w:val="zh-CN"/>
        </w:rPr>
        <w:t>未提前与</w:t>
      </w:r>
      <w:r>
        <w:rPr>
          <w:rFonts w:cs="仿宋" w:asciiTheme="minorEastAsia" w:hAnsiTheme="minorEastAsia" w:eastAsiaTheme="minorEastAsia"/>
          <w:kern w:val="0"/>
          <w:szCs w:val="21"/>
          <w:highlight w:val="none"/>
        </w:rPr>
        <w:t>甲方</w:t>
      </w:r>
      <w:r>
        <w:rPr>
          <w:rFonts w:cs="仿宋" w:asciiTheme="minorEastAsia" w:hAnsiTheme="minorEastAsia" w:eastAsiaTheme="minorEastAsia"/>
          <w:kern w:val="0"/>
          <w:szCs w:val="21"/>
          <w:highlight w:val="none"/>
          <w:lang w:val="zh-CN"/>
        </w:rPr>
        <w:t>沟通运输过程中面临的异常情况，且</w:t>
      </w:r>
      <w:r>
        <w:rPr>
          <w:rFonts w:cs="仿宋" w:asciiTheme="minorEastAsia" w:hAnsiTheme="minorEastAsia" w:eastAsiaTheme="minorEastAsia"/>
          <w:kern w:val="0"/>
          <w:szCs w:val="21"/>
          <w:highlight w:val="none"/>
        </w:rPr>
        <w:t>乙方</w:t>
      </w:r>
      <w:r>
        <w:rPr>
          <w:rFonts w:cs="仿宋" w:asciiTheme="minorEastAsia" w:hAnsiTheme="minorEastAsia" w:eastAsiaTheme="minorEastAsia"/>
          <w:kern w:val="0"/>
          <w:szCs w:val="21"/>
          <w:highlight w:val="none"/>
          <w:lang w:val="zh-CN"/>
        </w:rPr>
        <w:t>驾驶员未按</w:t>
      </w:r>
      <w:r>
        <w:rPr>
          <w:rFonts w:cs="仿宋" w:asciiTheme="minorEastAsia" w:hAnsiTheme="minorEastAsia" w:eastAsiaTheme="minorEastAsia"/>
          <w:kern w:val="0"/>
          <w:szCs w:val="21"/>
          <w:highlight w:val="none"/>
        </w:rPr>
        <w:t>甲方</w:t>
      </w:r>
      <w:r>
        <w:rPr>
          <w:rFonts w:cs="仿宋" w:asciiTheme="minorEastAsia" w:hAnsiTheme="minorEastAsia" w:eastAsiaTheme="minorEastAsia"/>
          <w:kern w:val="0"/>
          <w:szCs w:val="21"/>
          <w:highlight w:val="none"/>
          <w:lang w:val="zh-CN"/>
        </w:rPr>
        <w:t>运输指令完成交货，即按照如下标准处理：</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1</w:t>
      </w:r>
      <w:r>
        <w:rPr>
          <w:rFonts w:cs="仿宋" w:asciiTheme="minorEastAsia" w:hAnsiTheme="minorEastAsia" w:eastAsiaTheme="minorEastAsia"/>
          <w:kern w:val="0"/>
          <w:szCs w:val="21"/>
          <w:highlight w:val="none"/>
          <w:lang w:val="zh-CN"/>
        </w:rPr>
        <w:t>）每发生一次，该</w:t>
      </w:r>
      <w:r>
        <w:rPr>
          <w:rFonts w:cs="仿宋" w:asciiTheme="minorEastAsia" w:hAnsiTheme="minorEastAsia" w:eastAsiaTheme="minorEastAsia"/>
          <w:kern w:val="0"/>
          <w:szCs w:val="21"/>
          <w:highlight w:val="none"/>
        </w:rPr>
        <w:t>船舶</w:t>
      </w:r>
      <w:r>
        <w:rPr>
          <w:rFonts w:cs="仿宋" w:asciiTheme="minorEastAsia" w:hAnsiTheme="minorEastAsia" w:eastAsiaTheme="minorEastAsia"/>
          <w:kern w:val="0"/>
          <w:szCs w:val="21"/>
          <w:highlight w:val="none"/>
          <w:lang w:val="zh-CN"/>
        </w:rPr>
        <w:t>运输费用在当期合同执行价基础上扣减</w:t>
      </w:r>
      <w:r>
        <w:rPr>
          <w:rFonts w:cs="仿宋" w:asciiTheme="minorEastAsia" w:hAnsiTheme="minorEastAsia" w:eastAsiaTheme="minorEastAsia"/>
          <w:kern w:val="0"/>
          <w:szCs w:val="21"/>
          <w:highlight w:val="none"/>
          <w:u w:val="single"/>
          <w:lang w:val="zh-CN"/>
        </w:rPr>
        <w:t>20元/吨</w:t>
      </w:r>
      <w:r>
        <w:rPr>
          <w:rFonts w:hint="eastAsia" w:cs="仿宋" w:asciiTheme="minorEastAsia" w:hAnsiTheme="minorEastAsia" w:eastAsiaTheme="minorEastAsia"/>
          <w:kern w:val="0"/>
          <w:szCs w:val="21"/>
          <w:highlight w:val="none"/>
          <w:u w:val="single"/>
          <w:lang w:val="zh-CN"/>
        </w:rPr>
        <w:t>，</w:t>
      </w:r>
      <w:r>
        <w:rPr>
          <w:rFonts w:cs="仿宋" w:asciiTheme="minorEastAsia" w:hAnsiTheme="minorEastAsia" w:eastAsiaTheme="minorEastAsia"/>
          <w:kern w:val="0"/>
          <w:szCs w:val="21"/>
          <w:highlight w:val="none"/>
          <w:lang w:val="zh-CN"/>
        </w:rPr>
        <w:t>在当期应支付</w:t>
      </w:r>
      <w:r>
        <w:rPr>
          <w:rFonts w:cs="仿宋" w:asciiTheme="minorEastAsia" w:hAnsiTheme="minorEastAsia" w:eastAsiaTheme="minorEastAsia"/>
          <w:kern w:val="0"/>
          <w:szCs w:val="21"/>
          <w:highlight w:val="none"/>
        </w:rPr>
        <w:t>乙方</w:t>
      </w:r>
      <w:r>
        <w:rPr>
          <w:rFonts w:cs="仿宋" w:asciiTheme="minorEastAsia" w:hAnsiTheme="minorEastAsia" w:eastAsiaTheme="minorEastAsia"/>
          <w:kern w:val="0"/>
          <w:szCs w:val="21"/>
          <w:highlight w:val="none"/>
          <w:lang w:val="zh-CN"/>
        </w:rPr>
        <w:t>运费中扣除；</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2</w:t>
      </w:r>
      <w:r>
        <w:rPr>
          <w:rFonts w:cs="仿宋" w:asciiTheme="minorEastAsia" w:hAnsiTheme="minorEastAsia" w:eastAsiaTheme="minorEastAsia"/>
          <w:kern w:val="0"/>
          <w:szCs w:val="21"/>
          <w:highlight w:val="none"/>
          <w:lang w:val="zh-CN"/>
        </w:rPr>
        <w:t>）若造成</w:t>
      </w:r>
      <w:r>
        <w:rPr>
          <w:rFonts w:cs="仿宋" w:asciiTheme="minorEastAsia" w:hAnsiTheme="minorEastAsia" w:eastAsiaTheme="minorEastAsia"/>
          <w:kern w:val="0"/>
          <w:szCs w:val="21"/>
          <w:highlight w:val="none"/>
        </w:rPr>
        <w:t>甲方或甲方客户</w:t>
      </w:r>
      <w:r>
        <w:rPr>
          <w:rFonts w:cs="仿宋" w:asciiTheme="minorEastAsia" w:hAnsiTheme="minorEastAsia" w:eastAsiaTheme="minorEastAsia"/>
          <w:kern w:val="0"/>
          <w:szCs w:val="21"/>
          <w:highlight w:val="none"/>
          <w:lang w:val="zh-CN"/>
        </w:rPr>
        <w:t>工地停工，由</w:t>
      </w:r>
      <w:r>
        <w:rPr>
          <w:rFonts w:cs="仿宋" w:asciiTheme="minorEastAsia" w:hAnsiTheme="minorEastAsia" w:eastAsiaTheme="minorEastAsia"/>
          <w:kern w:val="0"/>
          <w:szCs w:val="21"/>
          <w:highlight w:val="none"/>
        </w:rPr>
        <w:t>乙方</w:t>
      </w:r>
      <w:r>
        <w:rPr>
          <w:rFonts w:cs="仿宋" w:asciiTheme="minorEastAsia" w:hAnsiTheme="minorEastAsia" w:eastAsiaTheme="minorEastAsia"/>
          <w:kern w:val="0"/>
          <w:szCs w:val="21"/>
          <w:highlight w:val="none"/>
          <w:lang w:val="zh-CN"/>
        </w:rPr>
        <w:t>承担工地停工的一切损失，包含但不限于因此迟延供货所产生的违约金及罚金、人工成本费用、机械设备租赁费用等。违约金可由</w:t>
      </w:r>
      <w:r>
        <w:rPr>
          <w:rFonts w:cs="仿宋" w:asciiTheme="minorEastAsia" w:hAnsiTheme="minorEastAsia" w:eastAsiaTheme="minorEastAsia"/>
          <w:kern w:val="0"/>
          <w:szCs w:val="21"/>
          <w:highlight w:val="none"/>
        </w:rPr>
        <w:t>甲方</w:t>
      </w:r>
      <w:r>
        <w:rPr>
          <w:rFonts w:cs="仿宋" w:asciiTheme="minorEastAsia" w:hAnsiTheme="minorEastAsia" w:eastAsiaTheme="minorEastAsia"/>
          <w:kern w:val="0"/>
          <w:szCs w:val="21"/>
          <w:highlight w:val="none"/>
          <w:lang w:val="zh-CN"/>
        </w:rPr>
        <w:t>直接从应付</w:t>
      </w:r>
      <w:r>
        <w:rPr>
          <w:rFonts w:cs="仿宋" w:asciiTheme="minorEastAsia" w:hAnsiTheme="minorEastAsia" w:eastAsiaTheme="minorEastAsia"/>
          <w:kern w:val="0"/>
          <w:szCs w:val="21"/>
          <w:highlight w:val="none"/>
        </w:rPr>
        <w:t>运费</w:t>
      </w:r>
      <w:r>
        <w:rPr>
          <w:rFonts w:cs="仿宋" w:asciiTheme="minorEastAsia" w:hAnsiTheme="minorEastAsia" w:eastAsiaTheme="minorEastAsia"/>
          <w:kern w:val="0"/>
          <w:szCs w:val="21"/>
          <w:highlight w:val="none"/>
          <w:lang w:val="zh-CN"/>
        </w:rPr>
        <w:t>或履约保证金中扣除，不足部分由</w:t>
      </w:r>
      <w:r>
        <w:rPr>
          <w:rFonts w:cs="仿宋" w:asciiTheme="minorEastAsia" w:hAnsiTheme="minorEastAsia" w:eastAsiaTheme="minorEastAsia"/>
          <w:kern w:val="0"/>
          <w:szCs w:val="21"/>
          <w:highlight w:val="none"/>
        </w:rPr>
        <w:t>乙方</w:t>
      </w:r>
      <w:r>
        <w:rPr>
          <w:rFonts w:cs="仿宋" w:asciiTheme="minorEastAsia" w:hAnsiTheme="minorEastAsia" w:eastAsiaTheme="minorEastAsia"/>
          <w:kern w:val="0"/>
          <w:szCs w:val="21"/>
          <w:highlight w:val="none"/>
          <w:lang w:val="zh-CN"/>
        </w:rPr>
        <w:t>在3日内以现金方式支付。</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8.乙方船舶</w:t>
      </w:r>
      <w:r>
        <w:rPr>
          <w:rFonts w:cs="仿宋" w:asciiTheme="minorEastAsia" w:hAnsiTheme="minorEastAsia" w:eastAsiaTheme="minorEastAsia"/>
          <w:kern w:val="0"/>
          <w:szCs w:val="21"/>
          <w:highlight w:val="none"/>
          <w:lang w:val="zh-CN"/>
        </w:rPr>
        <w:t>驾驶</w:t>
      </w:r>
      <w:r>
        <w:rPr>
          <w:rFonts w:cs="仿宋" w:asciiTheme="minorEastAsia" w:hAnsiTheme="minorEastAsia" w:eastAsiaTheme="minorEastAsia"/>
          <w:kern w:val="0"/>
          <w:szCs w:val="21"/>
          <w:highlight w:val="none"/>
        </w:rPr>
        <w:t>人</w:t>
      </w:r>
      <w:r>
        <w:rPr>
          <w:rFonts w:cs="仿宋" w:asciiTheme="minorEastAsia" w:hAnsiTheme="minorEastAsia" w:eastAsiaTheme="minorEastAsia"/>
          <w:kern w:val="0"/>
          <w:szCs w:val="21"/>
          <w:highlight w:val="none"/>
          <w:lang w:val="zh-CN"/>
        </w:rPr>
        <w:t>员</w:t>
      </w:r>
      <w:r>
        <w:rPr>
          <w:rFonts w:cs="仿宋" w:asciiTheme="minorEastAsia" w:hAnsiTheme="minorEastAsia" w:eastAsiaTheme="minorEastAsia"/>
          <w:kern w:val="0"/>
          <w:szCs w:val="21"/>
          <w:highlight w:val="none"/>
        </w:rPr>
        <w:t>须按要求与指定收货人完成货物签收工作，并及时上传发货、收货单据，</w:t>
      </w:r>
      <w:r>
        <w:rPr>
          <w:rFonts w:cs="仿宋" w:asciiTheme="minorEastAsia" w:hAnsiTheme="minorEastAsia" w:eastAsiaTheme="minorEastAsia"/>
          <w:kern w:val="0"/>
          <w:szCs w:val="21"/>
          <w:highlight w:val="none"/>
          <w:lang w:val="zh-CN"/>
        </w:rPr>
        <w:t>若发现未按要求与卸货工地指定</w:t>
      </w:r>
      <w:r>
        <w:rPr>
          <w:rFonts w:cs="仿宋" w:asciiTheme="minorEastAsia" w:hAnsiTheme="minorEastAsia" w:eastAsiaTheme="minorEastAsia"/>
          <w:kern w:val="0"/>
          <w:szCs w:val="21"/>
          <w:highlight w:val="none"/>
        </w:rPr>
        <w:t>收货人</w:t>
      </w:r>
      <w:r>
        <w:rPr>
          <w:rFonts w:cs="仿宋" w:asciiTheme="minorEastAsia" w:hAnsiTheme="minorEastAsia" w:eastAsiaTheme="minorEastAsia"/>
          <w:kern w:val="0"/>
          <w:szCs w:val="21"/>
          <w:highlight w:val="none"/>
          <w:lang w:val="zh-CN"/>
        </w:rPr>
        <w:t>完成签收工作，或上传发货单、</w:t>
      </w:r>
      <w:r>
        <w:rPr>
          <w:rFonts w:cs="仿宋" w:asciiTheme="minorEastAsia" w:hAnsiTheme="minorEastAsia" w:eastAsiaTheme="minorEastAsia"/>
          <w:kern w:val="0"/>
          <w:szCs w:val="21"/>
          <w:highlight w:val="none"/>
        </w:rPr>
        <w:t>收货单</w:t>
      </w:r>
      <w:r>
        <w:rPr>
          <w:rFonts w:cs="仿宋" w:asciiTheme="minorEastAsia" w:hAnsiTheme="minorEastAsia" w:eastAsiaTheme="minorEastAsia"/>
          <w:kern w:val="0"/>
          <w:szCs w:val="21"/>
          <w:highlight w:val="none"/>
          <w:lang w:val="zh-CN"/>
        </w:rPr>
        <w:t>上信息不全，</w:t>
      </w:r>
      <w:r>
        <w:rPr>
          <w:rFonts w:cs="仿宋" w:asciiTheme="minorEastAsia" w:hAnsiTheme="minorEastAsia" w:eastAsiaTheme="minorEastAsia"/>
          <w:kern w:val="0"/>
          <w:szCs w:val="21"/>
          <w:highlight w:val="none"/>
        </w:rPr>
        <w:t>甲方有权</w:t>
      </w:r>
      <w:r>
        <w:rPr>
          <w:rFonts w:cs="仿宋" w:asciiTheme="minorEastAsia" w:hAnsiTheme="minorEastAsia" w:eastAsiaTheme="minorEastAsia"/>
          <w:kern w:val="0"/>
          <w:szCs w:val="21"/>
          <w:highlight w:val="none"/>
          <w:lang w:val="zh-CN"/>
        </w:rPr>
        <w:t>按照以下标准予以处罚：</w:t>
      </w:r>
    </w:p>
    <w:p>
      <w:pPr>
        <w:widowControl/>
        <w:spacing w:line="360" w:lineRule="auto"/>
        <w:ind w:firstLine="420" w:firstLineChars="2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1</w:t>
      </w:r>
      <w:r>
        <w:rPr>
          <w:rFonts w:cs="仿宋" w:asciiTheme="minorEastAsia" w:hAnsiTheme="minorEastAsia" w:eastAsiaTheme="minorEastAsia"/>
          <w:kern w:val="0"/>
          <w:szCs w:val="21"/>
          <w:highlight w:val="none"/>
          <w:lang w:val="zh-CN"/>
        </w:rPr>
        <w:t>）发现</w:t>
      </w:r>
      <w:r>
        <w:rPr>
          <w:rFonts w:cs="仿宋" w:asciiTheme="minorEastAsia" w:hAnsiTheme="minorEastAsia" w:eastAsiaTheme="minorEastAsia"/>
          <w:kern w:val="0"/>
          <w:szCs w:val="21"/>
          <w:highlight w:val="none"/>
        </w:rPr>
        <w:t>某船舶驾驶人员</w:t>
      </w:r>
      <w:r>
        <w:rPr>
          <w:rFonts w:cs="仿宋" w:asciiTheme="minorEastAsia" w:hAnsiTheme="minorEastAsia" w:eastAsiaTheme="minorEastAsia"/>
          <w:kern w:val="0"/>
          <w:szCs w:val="21"/>
          <w:highlight w:val="none"/>
          <w:lang w:val="zh-CN"/>
        </w:rPr>
        <w:t>第1次，进行</w:t>
      </w:r>
      <w:r>
        <w:rPr>
          <w:rFonts w:cs="仿宋" w:asciiTheme="minorEastAsia" w:hAnsiTheme="minorEastAsia" w:eastAsiaTheme="minorEastAsia"/>
          <w:kern w:val="0"/>
          <w:szCs w:val="21"/>
          <w:highlight w:val="none"/>
          <w:u w:val="single"/>
          <w:lang w:val="zh-CN"/>
        </w:rPr>
        <w:t>500元</w:t>
      </w:r>
      <w:r>
        <w:rPr>
          <w:rFonts w:cs="仿宋" w:asciiTheme="minorEastAsia" w:hAnsiTheme="minorEastAsia" w:eastAsiaTheme="minorEastAsia"/>
          <w:kern w:val="0"/>
          <w:szCs w:val="21"/>
          <w:highlight w:val="none"/>
          <w:lang w:val="zh-CN"/>
        </w:rPr>
        <w:t>处罚；</w:t>
      </w:r>
    </w:p>
    <w:p>
      <w:pPr>
        <w:widowControl/>
        <w:spacing w:line="360" w:lineRule="auto"/>
        <w:ind w:firstLine="420" w:firstLineChars="200"/>
        <w:jc w:val="left"/>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lang w:val="zh-CN"/>
        </w:rPr>
        <w:t>（</w:t>
      </w:r>
      <w:r>
        <w:rPr>
          <w:rFonts w:cs="仿宋" w:asciiTheme="minorEastAsia" w:hAnsiTheme="minorEastAsia" w:eastAsiaTheme="minorEastAsia"/>
          <w:kern w:val="0"/>
          <w:szCs w:val="21"/>
          <w:highlight w:val="none"/>
        </w:rPr>
        <w:t>2</w:t>
      </w:r>
      <w:r>
        <w:rPr>
          <w:rFonts w:cs="仿宋" w:asciiTheme="minorEastAsia" w:hAnsiTheme="minorEastAsia" w:eastAsiaTheme="minorEastAsia"/>
          <w:kern w:val="0"/>
          <w:szCs w:val="21"/>
          <w:highlight w:val="none"/>
          <w:lang w:val="zh-CN"/>
        </w:rPr>
        <w:t>）发现同一</w:t>
      </w:r>
      <w:r>
        <w:rPr>
          <w:rFonts w:cs="仿宋" w:asciiTheme="minorEastAsia" w:hAnsiTheme="minorEastAsia" w:eastAsiaTheme="minorEastAsia"/>
          <w:kern w:val="0"/>
          <w:szCs w:val="21"/>
          <w:highlight w:val="none"/>
        </w:rPr>
        <w:t>某某船舶</w:t>
      </w:r>
      <w:r>
        <w:rPr>
          <w:rFonts w:cs="仿宋" w:asciiTheme="minorEastAsia" w:hAnsiTheme="minorEastAsia" w:eastAsiaTheme="minorEastAsia"/>
          <w:kern w:val="0"/>
          <w:szCs w:val="21"/>
          <w:highlight w:val="none"/>
          <w:lang w:val="zh-CN"/>
        </w:rPr>
        <w:t>驾驶员</w:t>
      </w:r>
      <w:r>
        <w:rPr>
          <w:rFonts w:cs="仿宋" w:asciiTheme="minorEastAsia" w:hAnsiTheme="minorEastAsia" w:eastAsiaTheme="minorEastAsia"/>
          <w:kern w:val="0"/>
          <w:szCs w:val="21"/>
          <w:highlight w:val="none"/>
        </w:rPr>
        <w:t>人员</w:t>
      </w:r>
      <w:r>
        <w:rPr>
          <w:rFonts w:cs="仿宋" w:asciiTheme="minorEastAsia" w:hAnsiTheme="minorEastAsia" w:eastAsiaTheme="minorEastAsia"/>
          <w:kern w:val="0"/>
          <w:szCs w:val="21"/>
          <w:highlight w:val="none"/>
          <w:lang w:val="zh-CN"/>
        </w:rPr>
        <w:t>第2次，进行</w:t>
      </w:r>
      <w:r>
        <w:rPr>
          <w:rFonts w:cs="仿宋" w:asciiTheme="minorEastAsia" w:hAnsiTheme="minorEastAsia" w:eastAsiaTheme="minorEastAsia"/>
          <w:kern w:val="0"/>
          <w:szCs w:val="21"/>
          <w:highlight w:val="none"/>
          <w:u w:val="single"/>
          <w:lang w:val="zh-CN"/>
        </w:rPr>
        <w:t>1000元</w:t>
      </w:r>
      <w:r>
        <w:rPr>
          <w:rFonts w:cs="仿宋" w:asciiTheme="minorEastAsia" w:hAnsiTheme="minorEastAsia" w:eastAsiaTheme="minorEastAsia"/>
          <w:kern w:val="0"/>
          <w:szCs w:val="21"/>
          <w:highlight w:val="none"/>
          <w:lang w:val="zh-CN"/>
        </w:rPr>
        <w:t>处罚，并禁止该驾驶员继续进行本项目运输工作。</w:t>
      </w:r>
    </w:p>
    <w:p>
      <w:pPr>
        <w:widowControl/>
        <w:spacing w:line="360" w:lineRule="auto"/>
        <w:ind w:firstLine="600"/>
        <w:rPr>
          <w:rFonts w:cs="仿宋" w:asciiTheme="minorEastAsia" w:hAnsiTheme="minorEastAsia" w:eastAsiaTheme="minorEastAsia"/>
          <w:kern w:val="0"/>
          <w:szCs w:val="21"/>
          <w:highlight w:val="none"/>
          <w:lang w:val="zh-CN"/>
        </w:rPr>
      </w:pPr>
      <w:r>
        <w:rPr>
          <w:rFonts w:cs="仿宋" w:asciiTheme="minorEastAsia" w:hAnsiTheme="minorEastAsia" w:eastAsiaTheme="minorEastAsia"/>
          <w:kern w:val="0"/>
          <w:szCs w:val="21"/>
          <w:highlight w:val="none"/>
        </w:rPr>
        <w:t>9.</w:t>
      </w:r>
      <w:r>
        <w:rPr>
          <w:rFonts w:cs="仿宋" w:asciiTheme="minorEastAsia" w:hAnsiTheme="minorEastAsia" w:eastAsiaTheme="minorEastAsia"/>
          <w:kern w:val="0"/>
          <w:szCs w:val="21"/>
          <w:highlight w:val="none"/>
          <w:lang w:val="zh-CN"/>
        </w:rPr>
        <w:t>货物装运地为甲方指定的港口，</w:t>
      </w:r>
      <w:r>
        <w:rPr>
          <w:rFonts w:cs="仿宋" w:asciiTheme="minorEastAsia" w:hAnsiTheme="minorEastAsia" w:eastAsiaTheme="minorEastAsia"/>
          <w:kern w:val="0"/>
          <w:szCs w:val="21"/>
          <w:highlight w:val="none"/>
        </w:rPr>
        <w:t>乙</w:t>
      </w:r>
      <w:r>
        <w:rPr>
          <w:rFonts w:cs="仿宋" w:asciiTheme="minorEastAsia" w:hAnsiTheme="minorEastAsia" w:eastAsiaTheme="minorEastAsia"/>
          <w:kern w:val="0"/>
          <w:szCs w:val="21"/>
          <w:highlight w:val="none"/>
          <w:lang w:val="zh-CN"/>
        </w:rPr>
        <w:t>方不得以假冒伪劣产品替换冒充。若有发生，</w:t>
      </w:r>
      <w:r>
        <w:rPr>
          <w:rFonts w:cs="仿宋" w:asciiTheme="minorEastAsia" w:hAnsiTheme="minorEastAsia" w:eastAsiaTheme="minorEastAsia"/>
          <w:kern w:val="0"/>
          <w:szCs w:val="21"/>
          <w:highlight w:val="none"/>
        </w:rPr>
        <w:t>乙</w:t>
      </w:r>
      <w:r>
        <w:rPr>
          <w:rFonts w:cs="仿宋" w:asciiTheme="minorEastAsia" w:hAnsiTheme="minorEastAsia" w:eastAsiaTheme="minorEastAsia"/>
          <w:kern w:val="0"/>
          <w:szCs w:val="21"/>
          <w:highlight w:val="none"/>
          <w:lang w:val="zh-CN"/>
        </w:rPr>
        <w:t>方将</w:t>
      </w:r>
      <w:r>
        <w:rPr>
          <w:rFonts w:cs="仿宋" w:asciiTheme="minorEastAsia" w:hAnsiTheme="minorEastAsia" w:eastAsiaTheme="minorEastAsia"/>
          <w:kern w:val="0"/>
          <w:szCs w:val="21"/>
          <w:highlight w:val="none"/>
        </w:rPr>
        <w:t>按照该船舶所装载货物甲方销售价格的</w:t>
      </w:r>
      <w:r>
        <w:rPr>
          <w:rFonts w:cs="仿宋" w:asciiTheme="minorEastAsia" w:hAnsiTheme="minorEastAsia" w:eastAsiaTheme="minorEastAsia"/>
          <w:kern w:val="0"/>
          <w:szCs w:val="21"/>
          <w:highlight w:val="none"/>
          <w:u w:val="single"/>
        </w:rPr>
        <w:t>3倍金额</w:t>
      </w:r>
      <w:r>
        <w:rPr>
          <w:rFonts w:cs="仿宋" w:asciiTheme="minorEastAsia" w:hAnsiTheme="minorEastAsia" w:eastAsiaTheme="minorEastAsia"/>
          <w:kern w:val="0"/>
          <w:szCs w:val="21"/>
          <w:highlight w:val="none"/>
          <w:lang w:val="zh-CN"/>
        </w:rPr>
        <w:t>向甲方</w:t>
      </w:r>
      <w:r>
        <w:rPr>
          <w:rFonts w:cs="仿宋" w:asciiTheme="minorEastAsia" w:hAnsiTheme="minorEastAsia" w:eastAsiaTheme="minorEastAsia"/>
          <w:kern w:val="0"/>
          <w:szCs w:val="21"/>
          <w:highlight w:val="none"/>
        </w:rPr>
        <w:t>进行</w:t>
      </w:r>
      <w:r>
        <w:rPr>
          <w:rFonts w:cs="仿宋" w:asciiTheme="minorEastAsia" w:hAnsiTheme="minorEastAsia" w:eastAsiaTheme="minorEastAsia"/>
          <w:kern w:val="0"/>
          <w:szCs w:val="21"/>
          <w:highlight w:val="none"/>
          <w:u w:val="single"/>
        </w:rPr>
        <w:t>赔偿</w:t>
      </w:r>
      <w:r>
        <w:rPr>
          <w:rFonts w:cs="仿宋" w:asciiTheme="minorEastAsia" w:hAnsiTheme="minorEastAsia" w:eastAsiaTheme="minorEastAsia"/>
          <w:kern w:val="0"/>
          <w:szCs w:val="21"/>
          <w:highlight w:val="none"/>
          <w:lang w:val="zh-CN"/>
        </w:rPr>
        <w:t>，并承担因此造成的一切损失。</w:t>
      </w:r>
    </w:p>
    <w:p>
      <w:pPr>
        <w:widowControl/>
        <w:spacing w:line="360" w:lineRule="auto"/>
        <w:ind w:firstLine="6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10.乙方对甲方委托运输</w:t>
      </w:r>
      <w:bookmarkStart w:id="538" w:name="_GoBack"/>
      <w:bookmarkEnd w:id="538"/>
      <w:r>
        <w:rPr>
          <w:rFonts w:cs="仿宋" w:asciiTheme="minorEastAsia" w:hAnsiTheme="minorEastAsia" w:eastAsiaTheme="minorEastAsia"/>
          <w:kern w:val="0"/>
          <w:szCs w:val="21"/>
          <w:highlight w:val="none"/>
        </w:rPr>
        <w:t>的货物在任何情况下不具有留置权、货物所有权及其他任何处分货物的权利。货物到达目的地，乙方应在第一时间将货物送至收货人，不得以任何原因暂扣所承运的货物。若暂扣所承运的货物，导致甲方收货人延误收货而索赔，则乙方须承担因此而引起的一切责任。乙方应保证在甲方要求的时间内将货物运送到指定地点，因乙方原因延迟到货，导致甲方或甲方客户停工的，发生一次至少处罚</w:t>
      </w:r>
      <w:r>
        <w:rPr>
          <w:rFonts w:cs="仿宋" w:asciiTheme="minorEastAsia" w:hAnsiTheme="minorEastAsia" w:eastAsiaTheme="minorEastAsia"/>
          <w:kern w:val="0"/>
          <w:szCs w:val="21"/>
          <w:highlight w:val="none"/>
          <w:u w:val="single"/>
        </w:rPr>
        <w:t>10000</w:t>
      </w:r>
      <w:r>
        <w:rPr>
          <w:rFonts w:cs="仿宋" w:asciiTheme="minorEastAsia" w:hAnsiTheme="minorEastAsia" w:eastAsiaTheme="minorEastAsia"/>
          <w:kern w:val="0"/>
          <w:szCs w:val="21"/>
          <w:highlight w:val="none"/>
        </w:rPr>
        <w:t>元。</w:t>
      </w:r>
    </w:p>
    <w:p>
      <w:pPr>
        <w:widowControl/>
        <w:tabs>
          <w:tab w:val="left" w:pos="709"/>
          <w:tab w:val="left" w:pos="993"/>
        </w:tabs>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rPr>
        <w:t xml:space="preserve">第五条 </w:t>
      </w:r>
      <w:r>
        <w:rPr>
          <w:rFonts w:cs="仿宋" w:asciiTheme="minorEastAsia" w:hAnsiTheme="minorEastAsia" w:eastAsiaTheme="minorEastAsia"/>
          <w:b/>
          <w:bCs/>
          <w:kern w:val="0"/>
          <w:szCs w:val="21"/>
          <w:highlight w:val="none"/>
          <w:lang w:val="zh-CN"/>
        </w:rPr>
        <w:t>运输货损货差处理</w:t>
      </w:r>
    </w:p>
    <w:p>
      <w:pPr>
        <w:widowControl/>
        <w:tabs>
          <w:tab w:val="left" w:pos="709"/>
          <w:tab w:val="left" w:pos="993"/>
        </w:tabs>
        <w:spacing w:line="360" w:lineRule="auto"/>
        <w:ind w:firstLine="420" w:firstLineChars="200"/>
        <w:jc w:val="left"/>
        <w:rPr>
          <w:rFonts w:cs="仿宋" w:asciiTheme="minorEastAsia" w:hAnsiTheme="minorEastAsia" w:eastAsiaTheme="minorEastAsia"/>
          <w:kern w:val="0"/>
          <w:szCs w:val="21"/>
          <w:highlight w:val="none"/>
        </w:rPr>
      </w:pPr>
      <w:r>
        <w:rPr>
          <w:rFonts w:cs="仿宋" w:asciiTheme="minorEastAsia" w:hAnsiTheme="minorEastAsia" w:eastAsiaTheme="minorEastAsia"/>
          <w:color w:val="000000" w:themeColor="text1"/>
          <w:szCs w:val="21"/>
          <w:highlight w:val="none"/>
          <w14:textFill>
            <w14:solidFill>
              <w14:schemeClr w14:val="tx1"/>
            </w14:solidFill>
          </w14:textFill>
        </w:rPr>
        <w:t>货物在运输过程中受损，乙方需立即通知甲方，并告知货损性质，受损原因及受损程度。甲方将告知乙方所应采取的适当措施，乙方须赔偿因乙方原因造成的货损或乙方其他违约行为造成的甲方损失。正常运输过程中，由于乙方</w:t>
      </w:r>
      <w:r>
        <w:rPr>
          <w:rFonts w:hint="eastAsia" w:cs="仿宋" w:asciiTheme="minorEastAsia" w:hAnsiTheme="minorEastAsia" w:eastAsiaTheme="minorEastAsia"/>
          <w:color w:val="000000" w:themeColor="text1"/>
          <w:szCs w:val="21"/>
          <w:highlight w:val="none"/>
          <w14:textFill>
            <w14:solidFill>
              <w14:schemeClr w14:val="tx1"/>
            </w14:solidFill>
          </w14:textFill>
        </w:rPr>
        <w:t>船舶</w:t>
      </w:r>
      <w:r>
        <w:rPr>
          <w:rFonts w:cs="仿宋" w:asciiTheme="minorEastAsia" w:hAnsiTheme="minorEastAsia" w:eastAsiaTheme="minorEastAsia"/>
          <w:color w:val="000000" w:themeColor="text1"/>
          <w:szCs w:val="21"/>
          <w:highlight w:val="none"/>
          <w14:textFill>
            <w14:solidFill>
              <w14:schemeClr w14:val="tx1"/>
            </w14:solidFill>
          </w14:textFill>
        </w:rPr>
        <w:t>交货时，若实收数量大于发货数量，则甲乙双方以该</w:t>
      </w:r>
      <w:r>
        <w:rPr>
          <w:rFonts w:hint="eastAsia" w:cs="仿宋" w:asciiTheme="minorEastAsia" w:hAnsiTheme="minorEastAsia" w:eastAsiaTheme="minorEastAsia"/>
          <w:color w:val="000000" w:themeColor="text1"/>
          <w:szCs w:val="21"/>
          <w:highlight w:val="none"/>
          <w14:textFill>
            <w14:solidFill>
              <w14:schemeClr w14:val="tx1"/>
            </w14:solidFill>
          </w14:textFill>
        </w:rPr>
        <w:t>船</w:t>
      </w:r>
      <w:r>
        <w:rPr>
          <w:rFonts w:cs="仿宋" w:asciiTheme="minorEastAsia" w:hAnsiTheme="minorEastAsia" w:eastAsiaTheme="minorEastAsia"/>
          <w:color w:val="000000" w:themeColor="text1"/>
          <w:szCs w:val="21"/>
          <w:highlight w:val="none"/>
          <w14:textFill>
            <w14:solidFill>
              <w14:schemeClr w14:val="tx1"/>
            </w14:solidFill>
          </w14:textFill>
        </w:rPr>
        <w:t>发货数量为对账结算依据；若发货数量大于实收数量，则甲乙双方以该</w:t>
      </w:r>
      <w:r>
        <w:rPr>
          <w:rFonts w:hint="eastAsia" w:cs="仿宋" w:asciiTheme="minorEastAsia" w:hAnsiTheme="minorEastAsia" w:eastAsiaTheme="minorEastAsia"/>
          <w:color w:val="000000" w:themeColor="text1"/>
          <w:szCs w:val="21"/>
          <w:highlight w:val="none"/>
          <w14:textFill>
            <w14:solidFill>
              <w14:schemeClr w14:val="tx1"/>
            </w14:solidFill>
          </w14:textFill>
        </w:rPr>
        <w:t>船</w:t>
      </w:r>
      <w:r>
        <w:rPr>
          <w:rFonts w:cs="仿宋" w:asciiTheme="minorEastAsia" w:hAnsiTheme="minorEastAsia" w:eastAsiaTheme="minorEastAsia"/>
          <w:color w:val="000000" w:themeColor="text1"/>
          <w:szCs w:val="21"/>
          <w:highlight w:val="none"/>
          <w14:textFill>
            <w14:solidFill>
              <w14:schemeClr w14:val="tx1"/>
            </w14:solidFill>
          </w14:textFill>
        </w:rPr>
        <w:t>实收数量为对账结算依据。乙方须自行承担由于发货数量与实收数量不一致所产生的磅差而带来的自身一切损失，并承担由此造成甲方货物损失的经济补偿责任。</w:t>
      </w:r>
    </w:p>
    <w:p>
      <w:pPr>
        <w:widowControl/>
        <w:tabs>
          <w:tab w:val="left" w:pos="709"/>
          <w:tab w:val="left" w:pos="993"/>
        </w:tabs>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rPr>
        <w:t xml:space="preserve">第六条 </w:t>
      </w:r>
      <w:r>
        <w:rPr>
          <w:rFonts w:cs="仿宋" w:asciiTheme="minorEastAsia" w:hAnsiTheme="minorEastAsia" w:eastAsiaTheme="minorEastAsia"/>
          <w:b/>
          <w:bCs/>
          <w:kern w:val="0"/>
          <w:szCs w:val="21"/>
          <w:highlight w:val="none"/>
          <w:lang w:val="zh-CN"/>
        </w:rPr>
        <w:t>运价与费用结算</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1.双方于每月</w:t>
      </w:r>
      <w:r>
        <w:rPr>
          <w:rFonts w:cs="仿宋" w:asciiTheme="minorEastAsia" w:hAnsiTheme="minorEastAsia" w:eastAsiaTheme="minorEastAsia"/>
          <w:kern w:val="0"/>
          <w:szCs w:val="21"/>
          <w:highlight w:val="none"/>
          <w:u w:val="single"/>
        </w:rPr>
        <w:t xml:space="preserve"> 21 </w:t>
      </w:r>
      <w:r>
        <w:rPr>
          <w:rFonts w:cs="仿宋" w:asciiTheme="minorEastAsia" w:hAnsiTheme="minorEastAsia" w:eastAsiaTheme="minorEastAsia"/>
          <w:kern w:val="0"/>
          <w:szCs w:val="21"/>
          <w:highlight w:val="none"/>
        </w:rPr>
        <w:t>日（若遇非工作日或节假日则顺延）核对上月</w:t>
      </w:r>
      <w:r>
        <w:rPr>
          <w:rFonts w:cs="仿宋" w:asciiTheme="minorEastAsia" w:hAnsiTheme="minorEastAsia" w:eastAsiaTheme="minorEastAsia"/>
          <w:kern w:val="0"/>
          <w:szCs w:val="21"/>
          <w:highlight w:val="none"/>
          <w:u w:val="single"/>
        </w:rPr>
        <w:t xml:space="preserve"> 21  </w:t>
      </w:r>
      <w:r>
        <w:rPr>
          <w:rFonts w:cs="仿宋" w:asciiTheme="minorEastAsia" w:hAnsiTheme="minorEastAsia" w:eastAsiaTheme="minorEastAsia"/>
          <w:kern w:val="0"/>
          <w:szCs w:val="21"/>
          <w:highlight w:val="none"/>
        </w:rPr>
        <w:t>日至当月</w:t>
      </w:r>
      <w:r>
        <w:rPr>
          <w:rFonts w:cs="仿宋" w:asciiTheme="minorEastAsia" w:hAnsiTheme="minorEastAsia" w:eastAsiaTheme="minorEastAsia"/>
          <w:kern w:val="0"/>
          <w:szCs w:val="21"/>
          <w:highlight w:val="none"/>
          <w:u w:val="single"/>
        </w:rPr>
        <w:t xml:space="preserve"> 20 </w:t>
      </w:r>
      <w:r>
        <w:rPr>
          <w:rFonts w:cs="仿宋" w:asciiTheme="minorEastAsia" w:hAnsiTheme="minorEastAsia" w:eastAsiaTheme="minorEastAsia"/>
          <w:kern w:val="0"/>
          <w:szCs w:val="21"/>
          <w:highlight w:val="none"/>
        </w:rPr>
        <w:t>日期间经收货人签收的数量及对应的发货数量，乙方需将现场签收单原件交予甲方，双方核对无误后由双方共同签字确认。</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2.双方依据对账情况按照合同单价据实结算金额，若双方结算的金额不一致，双方应及时沟通解决。</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3.验收数量核算无误后，乙方应于当月</w:t>
      </w:r>
      <w:r>
        <w:rPr>
          <w:rFonts w:cs="仿宋" w:asciiTheme="minorEastAsia" w:hAnsiTheme="minorEastAsia" w:eastAsiaTheme="minorEastAsia"/>
          <w:kern w:val="0"/>
          <w:szCs w:val="21"/>
          <w:highlight w:val="none"/>
          <w:u w:val="single"/>
        </w:rPr>
        <w:t>25</w:t>
      </w:r>
      <w:r>
        <w:rPr>
          <w:rFonts w:cs="仿宋" w:asciiTheme="minorEastAsia" w:hAnsiTheme="minorEastAsia" w:eastAsiaTheme="minorEastAsia"/>
          <w:kern w:val="0"/>
          <w:szCs w:val="21"/>
          <w:highlight w:val="none"/>
        </w:rPr>
        <w:t>日前（若遇非工作日或节假日则顺延）按照甲方信息，提供符合甲方管理要求且合规合法的增值税发票。因特殊原因无法及时开票的1个月内补齐，否则该月</w:t>
      </w:r>
      <w:r>
        <w:rPr>
          <w:rFonts w:hint="eastAsia" w:cs="仿宋" w:asciiTheme="minorEastAsia" w:hAnsiTheme="minorEastAsia" w:eastAsiaTheme="minorEastAsia"/>
          <w:kern w:val="0"/>
          <w:szCs w:val="21"/>
          <w:highlight w:val="none"/>
        </w:rPr>
        <w:t>运输</w:t>
      </w:r>
      <w:r>
        <w:rPr>
          <w:rFonts w:cs="仿宋" w:asciiTheme="minorEastAsia" w:hAnsiTheme="minorEastAsia" w:eastAsiaTheme="minorEastAsia"/>
          <w:kern w:val="0"/>
          <w:szCs w:val="21"/>
          <w:highlight w:val="none"/>
        </w:rPr>
        <w:t>款不予结算支付，直至双方合同终止后且补齐发票情况下再无息计入剩余</w:t>
      </w:r>
      <w:r>
        <w:rPr>
          <w:rFonts w:hint="eastAsia" w:cs="仿宋" w:asciiTheme="minorEastAsia" w:hAnsiTheme="minorEastAsia" w:eastAsiaTheme="minorEastAsia"/>
          <w:kern w:val="0"/>
          <w:szCs w:val="21"/>
          <w:highlight w:val="none"/>
        </w:rPr>
        <w:t>运输</w:t>
      </w:r>
      <w:r>
        <w:rPr>
          <w:rFonts w:cs="仿宋" w:asciiTheme="minorEastAsia" w:hAnsiTheme="minorEastAsia" w:eastAsiaTheme="minorEastAsia"/>
          <w:kern w:val="0"/>
          <w:szCs w:val="21"/>
          <w:highlight w:val="none"/>
        </w:rPr>
        <w:t>款支付。乙方未及时提供发票或提供发票有误的，甲方有权延迟支付</w:t>
      </w:r>
      <w:r>
        <w:rPr>
          <w:rFonts w:hint="eastAsia" w:cs="仿宋" w:asciiTheme="minorEastAsia" w:hAnsiTheme="minorEastAsia" w:eastAsiaTheme="minorEastAsia"/>
          <w:kern w:val="0"/>
          <w:szCs w:val="21"/>
          <w:highlight w:val="none"/>
        </w:rPr>
        <w:t>运输</w:t>
      </w:r>
      <w:r>
        <w:rPr>
          <w:rFonts w:cs="仿宋" w:asciiTheme="minorEastAsia" w:hAnsiTheme="minorEastAsia" w:eastAsiaTheme="minorEastAsia"/>
          <w:kern w:val="0"/>
          <w:szCs w:val="21"/>
          <w:highlight w:val="none"/>
        </w:rPr>
        <w:t>款。乙方如提供虚假发票的，甲方有权从运输费用中扣除虚假发票金额的25%作为违约金。</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Arial Unicode MS" w:asciiTheme="minorEastAsia" w:hAnsiTheme="minorEastAsia" w:eastAsiaTheme="minorEastAsia"/>
          <w:kern w:val="0"/>
          <w:szCs w:val="21"/>
          <w:highlight w:val="none"/>
        </w:rPr>
        <w:t>4.</w:t>
      </w:r>
      <w:r>
        <w:rPr>
          <w:rFonts w:cs="仿宋" w:asciiTheme="minorEastAsia" w:hAnsiTheme="minorEastAsia" w:eastAsiaTheme="minorEastAsia"/>
          <w:kern w:val="0"/>
          <w:szCs w:val="21"/>
          <w:highlight w:val="none"/>
        </w:rPr>
        <w:t>付款时间：甲方自收到乙方开出的增值税专用发票后</w:t>
      </w:r>
      <w:r>
        <w:rPr>
          <w:rFonts w:cs="仿宋" w:asciiTheme="minorEastAsia" w:hAnsiTheme="minorEastAsia" w:eastAsiaTheme="minorEastAsia"/>
          <w:kern w:val="0"/>
          <w:szCs w:val="21"/>
          <w:highlight w:val="none"/>
          <w:u w:val="single"/>
        </w:rPr>
        <w:t xml:space="preserve"> 15 </w:t>
      </w:r>
      <w:r>
        <w:rPr>
          <w:rFonts w:cs="仿宋" w:asciiTheme="minorEastAsia" w:hAnsiTheme="minorEastAsia" w:eastAsiaTheme="minorEastAsia"/>
          <w:kern w:val="0"/>
          <w:szCs w:val="21"/>
          <w:highlight w:val="none"/>
        </w:rPr>
        <w:t>个工作日内办理付款。</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5.支付形式为银行转账、银行承兑汇票、国内信用证、供应链金融产品及其它非现金的支付方式。采用现金支付和银行承兑等非现金支付的比例为各50%，采用非现金支付方式的，甲方不承担贴息费用等其他任何费用，非现金支付周期为6个月。</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6.乙方在合同签订前按照</w:t>
      </w:r>
      <w:r>
        <w:rPr>
          <w:rFonts w:hint="eastAsia" w:cs="仿宋" w:asciiTheme="minorEastAsia" w:hAnsiTheme="minorEastAsia" w:eastAsiaTheme="minorEastAsia"/>
          <w:kern w:val="0"/>
          <w:szCs w:val="21"/>
          <w:highlight w:val="none"/>
        </w:rPr>
        <w:t>谈判须知前</w:t>
      </w:r>
      <w:r>
        <w:rPr>
          <w:rFonts w:cs="仿宋" w:asciiTheme="minorEastAsia" w:hAnsiTheme="minorEastAsia" w:eastAsiaTheme="minorEastAsia"/>
          <w:kern w:val="0"/>
          <w:szCs w:val="21"/>
          <w:highlight w:val="none"/>
        </w:rPr>
        <w:t>附表第24</w:t>
      </w:r>
      <w:r>
        <w:rPr>
          <w:rFonts w:hint="eastAsia" w:cs="仿宋" w:asciiTheme="minorEastAsia" w:hAnsiTheme="minorEastAsia" w:eastAsiaTheme="minorEastAsia"/>
          <w:kern w:val="0"/>
          <w:szCs w:val="21"/>
          <w:highlight w:val="none"/>
        </w:rPr>
        <w:t>条</w:t>
      </w:r>
      <w:r>
        <w:rPr>
          <w:rFonts w:cs="仿宋" w:asciiTheme="minorEastAsia" w:hAnsiTheme="minorEastAsia" w:eastAsiaTheme="minorEastAsia"/>
          <w:kern w:val="0"/>
          <w:szCs w:val="21"/>
          <w:highlight w:val="none"/>
        </w:rPr>
        <w:t>要求向采购人提交履约保证金。对于乙方依约应向甲方承担的损失、违约金及赔偿款项，由甲方从乙方交纳的履约保证金或运费中扣收；如履约保证金不足扣收，则由甲方从应支付乙方运费中自行划转。</w:t>
      </w:r>
      <w:r>
        <w:rPr>
          <w:rFonts w:cs="仿宋" w:asciiTheme="minorEastAsia" w:hAnsiTheme="minorEastAsia" w:eastAsiaTheme="minorEastAsia"/>
          <w:color w:val="000000" w:themeColor="text1"/>
          <w:szCs w:val="21"/>
          <w:highlight w:val="none"/>
          <w14:textFill>
            <w14:solidFill>
              <w14:schemeClr w14:val="tx1"/>
            </w14:solidFill>
          </w14:textFill>
        </w:rPr>
        <w:t>履约保证金在合同实施期间应保持规定的额度，若不足的，乙方同意</w:t>
      </w:r>
      <w:r>
        <w:rPr>
          <w:rFonts w:cs="仿宋" w:asciiTheme="minorEastAsia" w:hAnsiTheme="minorEastAsia" w:eastAsiaTheme="minorEastAsia"/>
          <w:kern w:val="0"/>
          <w:szCs w:val="21"/>
          <w:highlight w:val="none"/>
        </w:rPr>
        <w:t>由甲方从应支付的运费中自行划转直至补足。合同期满后，双方处理好合同善后事宜后10个工作日内，甲方无息退还乙方所剩余的履约保证金。</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bookmarkStart w:id="513" w:name="_Hlk57896162"/>
      <w:r>
        <w:rPr>
          <w:rFonts w:cs="仿宋" w:asciiTheme="minorEastAsia" w:hAnsiTheme="minorEastAsia" w:eastAsiaTheme="minorEastAsia"/>
          <w:kern w:val="0"/>
          <w:szCs w:val="21"/>
          <w:highlight w:val="none"/>
        </w:rPr>
        <w:t>乙方指定收款账户信息在签订合同时予以约定。乙方如需变更该信息的</w:t>
      </w:r>
      <w:bookmarkEnd w:id="513"/>
      <w:r>
        <w:rPr>
          <w:rFonts w:cs="仿宋" w:asciiTheme="minorEastAsia" w:hAnsiTheme="minorEastAsia" w:eastAsiaTheme="minorEastAsia"/>
          <w:kern w:val="0"/>
          <w:szCs w:val="21"/>
          <w:highlight w:val="none"/>
        </w:rPr>
        <w:t>，应当在甲方付款前2日内以书面方式通知甲方，否则，由此产生的任何后果均由乙方承担。</w:t>
      </w:r>
    </w:p>
    <w:p>
      <w:pPr>
        <w:widowControl/>
        <w:tabs>
          <w:tab w:val="left" w:pos="709"/>
          <w:tab w:val="left" w:pos="993"/>
        </w:tabs>
        <w:spacing w:line="360" w:lineRule="auto"/>
        <w:ind w:firstLine="420" w:firstLineChars="200"/>
        <w:rPr>
          <w:rFonts w:cs="仿宋" w:asciiTheme="minorEastAsia" w:hAnsiTheme="minorEastAsia" w:eastAsiaTheme="minorEastAsia"/>
          <w:kern w:val="0"/>
          <w:szCs w:val="21"/>
          <w:highlight w:val="none"/>
        </w:rPr>
      </w:pPr>
      <w:bookmarkStart w:id="514" w:name="_Hlk57896178"/>
      <w:r>
        <w:rPr>
          <w:rFonts w:cs="仿宋" w:asciiTheme="minorEastAsia" w:hAnsiTheme="minorEastAsia" w:eastAsiaTheme="minorEastAsia"/>
          <w:kern w:val="0"/>
          <w:szCs w:val="21"/>
          <w:highlight w:val="none"/>
        </w:rPr>
        <w:t>7.本合同的合同价款来源于业主及施工承包人的工程款支付，如果业主或施工承包人未将工程款按约支付给甲方，则根据风险共担原则，双方约定，甲方应付乙方的款项的期限做相应顺延，并不承担顺延期间的利息及违约责任。</w:t>
      </w:r>
      <w:bookmarkEnd w:id="514"/>
    </w:p>
    <w:p>
      <w:pPr>
        <w:widowControl/>
        <w:spacing w:line="360" w:lineRule="auto"/>
        <w:ind w:firstLine="422" w:firstLineChars="200"/>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w:t>
      </w:r>
      <w:r>
        <w:rPr>
          <w:rFonts w:cs="仿宋" w:asciiTheme="minorEastAsia" w:hAnsiTheme="minorEastAsia" w:eastAsiaTheme="minorEastAsia"/>
          <w:b/>
          <w:bCs/>
          <w:kern w:val="0"/>
          <w:szCs w:val="21"/>
          <w:highlight w:val="none"/>
        </w:rPr>
        <w:t>七</w:t>
      </w:r>
      <w:r>
        <w:rPr>
          <w:rFonts w:cs="仿宋" w:asciiTheme="minorEastAsia" w:hAnsiTheme="minorEastAsia" w:eastAsiaTheme="minorEastAsia"/>
          <w:b/>
          <w:bCs/>
          <w:kern w:val="0"/>
          <w:szCs w:val="21"/>
          <w:highlight w:val="none"/>
          <w:lang w:val="zh-CN"/>
        </w:rPr>
        <w:t>条</w:t>
      </w:r>
      <w:r>
        <w:rPr>
          <w:rFonts w:cs="仿宋" w:asciiTheme="minorEastAsia" w:hAnsiTheme="minorEastAsia" w:eastAsiaTheme="minorEastAsia"/>
          <w:b/>
          <w:bCs/>
          <w:kern w:val="0"/>
          <w:szCs w:val="21"/>
          <w:highlight w:val="none"/>
        </w:rPr>
        <w:t xml:space="preserve"> </w:t>
      </w:r>
      <w:r>
        <w:rPr>
          <w:rFonts w:cs="仿宋" w:asciiTheme="minorEastAsia" w:hAnsiTheme="minorEastAsia" w:eastAsiaTheme="minorEastAsia"/>
          <w:b/>
          <w:bCs/>
          <w:kern w:val="0"/>
          <w:szCs w:val="21"/>
          <w:highlight w:val="none"/>
          <w:lang w:val="zh-CN"/>
        </w:rPr>
        <w:t>合同生效和终止</w:t>
      </w:r>
    </w:p>
    <w:p>
      <w:pPr>
        <w:widowControl/>
        <w:numPr>
          <w:ilvl w:val="0"/>
          <w:numId w:val="5"/>
        </w:numPr>
        <w:spacing w:line="360" w:lineRule="auto"/>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本合同自双方法定代表人或委托代理人签字并盖章后生效，期限为：</w:t>
      </w:r>
      <w:r>
        <w:rPr>
          <w:rFonts w:cs="仿宋" w:asciiTheme="minorEastAsia" w:hAnsiTheme="minorEastAsia" w:eastAsiaTheme="minorEastAsia"/>
          <w:kern w:val="0"/>
          <w:szCs w:val="21"/>
          <w:highlight w:val="none"/>
          <w:u w:val="single"/>
        </w:rPr>
        <w:t>签订之日起至</w:t>
      </w:r>
      <w:r>
        <w:rPr>
          <w:rFonts w:cs="仿宋" w:asciiTheme="minorEastAsia" w:hAnsiTheme="minorEastAsia" w:eastAsiaTheme="minorEastAsia"/>
          <w:kern w:val="0"/>
          <w:szCs w:val="21"/>
          <w:highlight w:val="none"/>
        </w:rPr>
        <w:t>合同履行完毕后终止。</w:t>
      </w:r>
    </w:p>
    <w:p>
      <w:pPr>
        <w:widowControl/>
        <w:numPr>
          <w:ilvl w:val="0"/>
          <w:numId w:val="5"/>
        </w:numPr>
        <w:tabs>
          <w:tab w:val="left" w:pos="567"/>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合同签订后，任何一方不得擅自变更或解除。如确有特殊原因需要变更或解除时，须提前15天与另一方协商一致，以书面形式签订补充协议。若双方同意解除合同，甲乙双方应通力协作，妥善处理合同解除后的有关结算和清理等事宜。</w:t>
      </w:r>
    </w:p>
    <w:p>
      <w:pPr>
        <w:widowControl/>
        <w:numPr>
          <w:ilvl w:val="0"/>
          <w:numId w:val="5"/>
        </w:numPr>
        <w:tabs>
          <w:tab w:val="left" w:pos="567"/>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任何一方根据破产法提出破产申请或其它救济申请，或被裁定破产，或解散、或对债权人作任何转让、或被指定了清算组或类似人员，则在上述任何情况下，另一方可在任何时候以书面通知方式解除本合同。</w:t>
      </w:r>
    </w:p>
    <w:p>
      <w:pPr>
        <w:widowControl/>
        <w:numPr>
          <w:ilvl w:val="0"/>
          <w:numId w:val="5"/>
        </w:numPr>
        <w:tabs>
          <w:tab w:val="left" w:pos="567"/>
          <w:tab w:val="left" w:pos="993"/>
        </w:tabs>
        <w:spacing w:line="360" w:lineRule="auto"/>
        <w:ind w:firstLine="420" w:firstLineChars="200"/>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凡在本合同解除或终止前双方间已发生而尚未了结的任何债务，或在本合同解除或终止前由于一方违约而产生的另一方的损害赔偿请求权，均不受本合同终止的影响。</w:t>
      </w:r>
    </w:p>
    <w:p>
      <w:pPr>
        <w:widowControl/>
        <w:spacing w:line="360" w:lineRule="auto"/>
        <w:ind w:firstLine="422" w:firstLineChars="200"/>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w:t>
      </w:r>
      <w:r>
        <w:rPr>
          <w:rFonts w:cs="仿宋" w:asciiTheme="minorEastAsia" w:hAnsiTheme="minorEastAsia" w:eastAsiaTheme="minorEastAsia"/>
          <w:b/>
          <w:bCs/>
          <w:kern w:val="0"/>
          <w:szCs w:val="21"/>
          <w:highlight w:val="none"/>
        </w:rPr>
        <w:t>八</w:t>
      </w:r>
      <w:r>
        <w:rPr>
          <w:rFonts w:cs="仿宋" w:asciiTheme="minorEastAsia" w:hAnsiTheme="minorEastAsia" w:eastAsiaTheme="minorEastAsia"/>
          <w:b/>
          <w:bCs/>
          <w:kern w:val="0"/>
          <w:szCs w:val="21"/>
          <w:highlight w:val="none"/>
          <w:lang w:val="zh-CN"/>
        </w:rPr>
        <w:t>条</w:t>
      </w:r>
      <w:r>
        <w:rPr>
          <w:rFonts w:cs="仿宋" w:asciiTheme="minorEastAsia" w:hAnsiTheme="minorEastAsia" w:eastAsiaTheme="minorEastAsia"/>
          <w:b/>
          <w:bCs/>
          <w:kern w:val="0"/>
          <w:szCs w:val="21"/>
          <w:highlight w:val="none"/>
        </w:rPr>
        <w:t xml:space="preserve"> </w:t>
      </w:r>
      <w:r>
        <w:rPr>
          <w:rFonts w:cs="仿宋" w:asciiTheme="minorEastAsia" w:hAnsiTheme="minorEastAsia" w:eastAsiaTheme="minorEastAsia"/>
          <w:b/>
          <w:bCs/>
          <w:kern w:val="0"/>
          <w:szCs w:val="21"/>
          <w:highlight w:val="none"/>
          <w:lang w:val="zh-CN"/>
        </w:rPr>
        <w:t>不可抗力</w:t>
      </w:r>
    </w:p>
    <w:p>
      <w:pPr>
        <w:widowControl/>
        <w:numPr>
          <w:ilvl w:val="0"/>
          <w:numId w:val="6"/>
        </w:numPr>
        <w:spacing w:line="360" w:lineRule="auto"/>
        <w:rPr>
          <w:rFonts w:cs="仿宋" w:asciiTheme="minorEastAsia" w:hAnsiTheme="minorEastAsia" w:eastAsiaTheme="minorEastAsia"/>
          <w:bCs/>
          <w:kern w:val="0"/>
          <w:szCs w:val="21"/>
          <w:highlight w:val="none"/>
          <w:lang w:val="zh-CN"/>
        </w:rPr>
      </w:pPr>
      <w:r>
        <w:rPr>
          <w:rFonts w:cs="仿宋" w:asciiTheme="minorEastAsia" w:hAnsiTheme="minorEastAsia" w:eastAsiaTheme="minorEastAsia"/>
          <w:bCs/>
          <w:kern w:val="0"/>
          <w:szCs w:val="21"/>
          <w:highlight w:val="none"/>
          <w:lang w:val="zh-CN"/>
        </w:rPr>
        <w:t>如果合同任何一方受诸如战争、严重的火灾、台风、地震、洪水、瘟疫以及任何其他不能预见、不能避免且不能克服的不可抗力事件的影响而无法履行合同项下的任何义务，受影响的合同一方应将此类事件的发生通知合同另一方，并应在不可抗力事件发生后14日内将有关政府或机构出具的证明文件提交给合同另一方。</w:t>
      </w:r>
    </w:p>
    <w:p>
      <w:pPr>
        <w:widowControl/>
        <w:numPr>
          <w:ilvl w:val="0"/>
          <w:numId w:val="6"/>
        </w:numPr>
        <w:spacing w:line="360" w:lineRule="auto"/>
        <w:ind w:firstLine="420" w:firstLineChars="200"/>
        <w:rPr>
          <w:rFonts w:cs="仿宋" w:asciiTheme="minorEastAsia" w:hAnsiTheme="minorEastAsia" w:eastAsiaTheme="minorEastAsia"/>
          <w:bCs/>
          <w:kern w:val="0"/>
          <w:szCs w:val="21"/>
          <w:highlight w:val="none"/>
          <w:lang w:val="zh-CN"/>
        </w:rPr>
      </w:pPr>
      <w:r>
        <w:rPr>
          <w:rFonts w:cs="仿宋" w:asciiTheme="minorEastAsia" w:hAnsiTheme="minorEastAsia" w:eastAsiaTheme="minorEastAsia"/>
          <w:bCs/>
          <w:kern w:val="0"/>
          <w:szCs w:val="21"/>
          <w:highlight w:val="none"/>
          <w:lang w:val="zh-CN"/>
        </w:rPr>
        <w:t>受不可抗力事项影响的合同一方对于不可抗力事件导致的任何合同义务的迟延履行或不能履行不承担责任。但该合同方应尽快将不可抗力事件结束或消除的情况通知合同另一方，并尽力减免损失。</w:t>
      </w:r>
    </w:p>
    <w:p>
      <w:pPr>
        <w:widowControl/>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w:t>
      </w:r>
      <w:r>
        <w:rPr>
          <w:rFonts w:cs="仿宋" w:asciiTheme="minorEastAsia" w:hAnsiTheme="minorEastAsia" w:eastAsiaTheme="minorEastAsia"/>
          <w:b/>
          <w:bCs/>
          <w:kern w:val="0"/>
          <w:szCs w:val="21"/>
          <w:highlight w:val="none"/>
        </w:rPr>
        <w:t>九</w:t>
      </w:r>
      <w:r>
        <w:rPr>
          <w:rFonts w:cs="仿宋" w:asciiTheme="minorEastAsia" w:hAnsiTheme="minorEastAsia" w:eastAsiaTheme="minorEastAsia"/>
          <w:b/>
          <w:bCs/>
          <w:kern w:val="0"/>
          <w:szCs w:val="21"/>
          <w:highlight w:val="none"/>
          <w:lang w:val="zh-CN"/>
        </w:rPr>
        <w:t>条</w:t>
      </w:r>
      <w:r>
        <w:rPr>
          <w:rFonts w:cs="仿宋" w:asciiTheme="minorEastAsia" w:hAnsiTheme="minorEastAsia" w:eastAsiaTheme="minorEastAsia"/>
          <w:b/>
          <w:bCs/>
          <w:kern w:val="0"/>
          <w:szCs w:val="21"/>
          <w:highlight w:val="none"/>
        </w:rPr>
        <w:t xml:space="preserve"> </w:t>
      </w:r>
      <w:r>
        <w:rPr>
          <w:rFonts w:cs="仿宋" w:asciiTheme="minorEastAsia" w:hAnsiTheme="minorEastAsia" w:eastAsiaTheme="minorEastAsia"/>
          <w:b/>
          <w:bCs/>
          <w:kern w:val="0"/>
          <w:szCs w:val="21"/>
          <w:highlight w:val="none"/>
          <w:lang w:val="zh-CN"/>
        </w:rPr>
        <w:t>通知与送达</w:t>
      </w:r>
    </w:p>
    <w:p>
      <w:pPr>
        <w:widowControl/>
        <w:spacing w:line="360" w:lineRule="auto"/>
        <w:ind w:firstLine="420"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Cs/>
          <w:kern w:val="0"/>
          <w:szCs w:val="21"/>
          <w:highlight w:val="none"/>
          <w:lang w:val="zh-CN"/>
        </w:rPr>
        <w:t>本合同各方的书面通知以及司法文件送达地址以本合同载明的地址为准，合同未载明的，以各方工商登记注册地或户籍登记地为准。通过专人送递的，以签收之时视为送达；通过专递邮寄的，以签收、拒收、退回之日视为送达（以先到者为准）；通过电子数据传送的，以电子数据到达各方服务器时视为送达。</w:t>
      </w:r>
    </w:p>
    <w:p>
      <w:pPr>
        <w:widowControl/>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第十条</w:t>
      </w:r>
      <w:r>
        <w:rPr>
          <w:rFonts w:cs="仿宋" w:asciiTheme="minorEastAsia" w:hAnsiTheme="minorEastAsia" w:eastAsiaTheme="minorEastAsia"/>
          <w:b/>
          <w:bCs/>
          <w:kern w:val="0"/>
          <w:szCs w:val="21"/>
          <w:highlight w:val="none"/>
        </w:rPr>
        <w:t xml:space="preserve"> </w:t>
      </w:r>
      <w:r>
        <w:rPr>
          <w:rFonts w:cs="仿宋" w:asciiTheme="minorEastAsia" w:hAnsiTheme="minorEastAsia" w:eastAsiaTheme="minorEastAsia"/>
          <w:b/>
          <w:bCs/>
          <w:kern w:val="0"/>
          <w:szCs w:val="21"/>
          <w:highlight w:val="none"/>
          <w:lang w:val="zh-CN"/>
        </w:rPr>
        <w:t>争议的解决</w:t>
      </w:r>
    </w:p>
    <w:p>
      <w:pPr>
        <w:widowControl/>
        <w:spacing w:line="360" w:lineRule="auto"/>
        <w:ind w:firstLine="420" w:firstLineChars="200"/>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双方如在履行协议中发生争议，应协商解决，如协商不成，向甲方所在地人民法院提起诉讼。</w:t>
      </w:r>
    </w:p>
    <w:p>
      <w:pPr>
        <w:widowControl/>
        <w:spacing w:line="360" w:lineRule="auto"/>
        <w:ind w:firstLine="422" w:firstLineChars="200"/>
        <w:jc w:val="left"/>
        <w:rPr>
          <w:rFonts w:cs="仿宋" w:asciiTheme="minorEastAsia" w:hAnsiTheme="minorEastAsia" w:eastAsiaTheme="minorEastAsia"/>
          <w:b/>
          <w:bCs/>
          <w:kern w:val="0"/>
          <w:szCs w:val="21"/>
          <w:highlight w:val="none"/>
          <w:lang w:val="zh-CN"/>
        </w:rPr>
      </w:pPr>
      <w:r>
        <w:rPr>
          <w:rFonts w:cs="仿宋" w:asciiTheme="minorEastAsia" w:hAnsiTheme="minorEastAsia" w:eastAsiaTheme="minorEastAsia"/>
          <w:b/>
          <w:bCs/>
          <w:kern w:val="0"/>
          <w:szCs w:val="21"/>
          <w:highlight w:val="none"/>
          <w:lang w:val="zh-CN"/>
        </w:rPr>
        <w:t>第十</w:t>
      </w:r>
      <w:r>
        <w:rPr>
          <w:rFonts w:cs="仿宋" w:asciiTheme="minorEastAsia" w:hAnsiTheme="minorEastAsia" w:eastAsiaTheme="minorEastAsia"/>
          <w:b/>
          <w:bCs/>
          <w:kern w:val="0"/>
          <w:szCs w:val="21"/>
          <w:highlight w:val="none"/>
        </w:rPr>
        <w:t>一</w:t>
      </w:r>
      <w:r>
        <w:rPr>
          <w:rFonts w:cs="仿宋" w:asciiTheme="minorEastAsia" w:hAnsiTheme="minorEastAsia" w:eastAsiaTheme="minorEastAsia"/>
          <w:b/>
          <w:bCs/>
          <w:kern w:val="0"/>
          <w:szCs w:val="21"/>
          <w:highlight w:val="none"/>
          <w:lang w:val="zh-CN"/>
        </w:rPr>
        <w:t>条</w:t>
      </w:r>
      <w:r>
        <w:rPr>
          <w:rFonts w:cs="仿宋" w:asciiTheme="minorEastAsia" w:hAnsiTheme="minorEastAsia" w:eastAsiaTheme="minorEastAsia"/>
          <w:b/>
          <w:bCs/>
          <w:kern w:val="0"/>
          <w:szCs w:val="21"/>
          <w:highlight w:val="none"/>
        </w:rPr>
        <w:t xml:space="preserve"> </w:t>
      </w:r>
      <w:r>
        <w:rPr>
          <w:rFonts w:cs="仿宋" w:asciiTheme="minorEastAsia" w:hAnsiTheme="minorEastAsia" w:eastAsiaTheme="minorEastAsia"/>
          <w:b/>
          <w:bCs/>
          <w:kern w:val="0"/>
          <w:szCs w:val="21"/>
          <w:highlight w:val="none"/>
          <w:lang w:val="zh-CN"/>
        </w:rPr>
        <w:t>其他事项</w:t>
      </w:r>
    </w:p>
    <w:p>
      <w:pPr>
        <w:widowControl/>
        <w:numPr>
          <w:ilvl w:val="0"/>
          <w:numId w:val="7"/>
        </w:numPr>
        <w:tabs>
          <w:tab w:val="left" w:pos="567"/>
          <w:tab w:val="left" w:pos="993"/>
        </w:tabs>
        <w:spacing w:line="360" w:lineRule="auto"/>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其他未尽事宜或变更条款，双方可另行协商签订补充协议，该补充协议条款若与原合同内容冲突，以补充协议为准。</w:t>
      </w:r>
    </w:p>
    <w:p>
      <w:pPr>
        <w:widowControl/>
        <w:numPr>
          <w:ilvl w:val="0"/>
          <w:numId w:val="7"/>
        </w:numPr>
        <w:tabs>
          <w:tab w:val="left" w:pos="567"/>
          <w:tab w:val="left" w:pos="993"/>
        </w:tabs>
        <w:spacing w:line="360" w:lineRule="auto"/>
        <w:ind w:firstLine="420" w:firstLineChars="200"/>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本协议一式陆份，甲方持肆份，乙方持贰份。</w:t>
      </w:r>
    </w:p>
    <w:tbl>
      <w:tblPr>
        <w:tblStyle w:val="42"/>
        <w:tblW w:w="9009" w:type="dxa"/>
        <w:jc w:val="center"/>
        <w:tblInd w:w="0" w:type="dxa"/>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
      <w:tblGrid>
        <w:gridCol w:w="4379"/>
        <w:gridCol w:w="4630"/>
      </w:tblGrid>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30" w:hRule="atLeast"/>
          <w:jc w:val="center"/>
        </w:trPr>
        <w:tc>
          <w:tcPr>
            <w:tcW w:w="4379" w:type="dxa"/>
            <w:tcBorders>
              <w:top w:val="nil"/>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甲方（章）：四川交投物流有限公司</w:t>
            </w:r>
          </w:p>
        </w:tc>
        <w:tc>
          <w:tcPr>
            <w:tcW w:w="4630" w:type="dxa"/>
            <w:tcBorders>
              <w:top w:val="nil"/>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 xml:space="preserve">乙方（章）：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法定代表人：</w:t>
            </w:r>
          </w:p>
        </w:tc>
        <w:tc>
          <w:tcPr>
            <w:tcW w:w="4630"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法定代表人：</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委托代理人：</w:t>
            </w:r>
          </w:p>
        </w:tc>
        <w:tc>
          <w:tcPr>
            <w:tcW w:w="4630"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委托代理人：</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地    址：</w:t>
            </w:r>
          </w:p>
        </w:tc>
        <w:tc>
          <w:tcPr>
            <w:tcW w:w="4630"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地     址：</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邮政编码：</w:t>
            </w:r>
          </w:p>
        </w:tc>
        <w:tc>
          <w:tcPr>
            <w:tcW w:w="4630"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 xml:space="preserve">邮政编码：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联 系 人：</w:t>
            </w:r>
          </w:p>
        </w:tc>
        <w:tc>
          <w:tcPr>
            <w:tcW w:w="4630"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 xml:space="preserve">联 系 人：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联系电话：</w:t>
            </w:r>
          </w:p>
        </w:tc>
        <w:tc>
          <w:tcPr>
            <w:tcW w:w="4630"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 xml:space="preserve">联系电话：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传    真：</w:t>
            </w:r>
          </w:p>
        </w:tc>
        <w:tc>
          <w:tcPr>
            <w:tcW w:w="4630"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 xml:space="preserve">传    真：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713" w:hRule="atLeast"/>
          <w:jc w:val="center"/>
        </w:trPr>
        <w:tc>
          <w:tcPr>
            <w:tcW w:w="4379"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开 户 行：</w:t>
            </w:r>
          </w:p>
        </w:tc>
        <w:tc>
          <w:tcPr>
            <w:tcW w:w="4630" w:type="dxa"/>
            <w:tcBorders>
              <w:top w:val="single" w:color="FECC84" w:sz="4" w:space="0"/>
              <w:left w:val="nil"/>
              <w:bottom w:val="single" w:color="FECC84" w:sz="4" w:space="0"/>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 xml:space="preserve">开 户 行：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4" w:hRule="atLeast"/>
          <w:jc w:val="center"/>
        </w:trPr>
        <w:tc>
          <w:tcPr>
            <w:tcW w:w="4379"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账    号：</w:t>
            </w:r>
          </w:p>
        </w:tc>
        <w:tc>
          <w:tcPr>
            <w:tcW w:w="4630"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账  号：</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Ex>
        <w:trPr>
          <w:trHeight w:val="350" w:hRule="atLeast"/>
          <w:jc w:val="center"/>
        </w:trPr>
        <w:tc>
          <w:tcPr>
            <w:tcW w:w="4379" w:type="dxa"/>
            <w:tcBorders>
              <w:top w:val="single" w:color="FECC84" w:sz="4" w:space="0"/>
              <w:left w:val="nil"/>
              <w:bottom w:val="nil"/>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税    号：</w:t>
            </w:r>
          </w:p>
        </w:tc>
        <w:tc>
          <w:tcPr>
            <w:tcW w:w="4630" w:type="dxa"/>
            <w:tcBorders>
              <w:top w:val="single" w:color="FECC84" w:sz="4" w:space="0"/>
              <w:left w:val="nil"/>
              <w:bottom w:val="nil"/>
              <w:right w:val="nil"/>
            </w:tcBorders>
            <w:tcMar>
              <w:top w:w="80" w:type="dxa"/>
              <w:left w:w="80" w:type="dxa"/>
              <w:bottom w:w="80" w:type="dxa"/>
              <w:right w:w="80" w:type="dxa"/>
            </w:tcMar>
          </w:tcPr>
          <w:p>
            <w:pPr>
              <w:widowControl/>
              <w:jc w:val="left"/>
              <w:rPr>
                <w:rFonts w:cs="仿宋" w:asciiTheme="minorEastAsia" w:hAnsiTheme="minorEastAsia" w:eastAsiaTheme="minorEastAsia"/>
                <w:kern w:val="0"/>
                <w:szCs w:val="21"/>
                <w:highlight w:val="none"/>
              </w:rPr>
            </w:pPr>
            <w:r>
              <w:rPr>
                <w:rFonts w:cs="仿宋" w:asciiTheme="minorEastAsia" w:hAnsiTheme="minorEastAsia" w:eastAsiaTheme="minorEastAsia"/>
                <w:kern w:val="0"/>
                <w:szCs w:val="21"/>
                <w:highlight w:val="none"/>
              </w:rPr>
              <w:t>税  号：</w:t>
            </w:r>
          </w:p>
        </w:tc>
      </w:tr>
    </w:tbl>
    <w:p>
      <w:pPr>
        <w:rPr>
          <w:highlight w:val="none"/>
        </w:rPr>
      </w:pPr>
    </w:p>
    <w:p>
      <w:pPr>
        <w:rPr>
          <w:highlight w:val="none"/>
        </w:rPr>
      </w:pPr>
    </w:p>
    <w:p>
      <w:pPr>
        <w:rPr>
          <w:highlight w:val="none"/>
        </w:rPr>
      </w:pPr>
      <w:r>
        <w:rPr>
          <w:highlight w:val="none"/>
        </w:rPr>
        <w:br w:type="page"/>
      </w:r>
    </w:p>
    <w:p>
      <w:pPr>
        <w:rPr>
          <w:rFonts w:ascii="黑体" w:eastAsia="黑体"/>
          <w:sz w:val="28"/>
          <w:szCs w:val="28"/>
          <w:highlight w:val="none"/>
        </w:rPr>
      </w:pPr>
      <w:r>
        <w:rPr>
          <w:rFonts w:hint="eastAsia" w:ascii="黑体" w:eastAsia="黑体"/>
          <w:sz w:val="28"/>
          <w:szCs w:val="28"/>
          <w:highlight w:val="none"/>
        </w:rPr>
        <w:t>附件</w:t>
      </w:r>
      <w:r>
        <w:rPr>
          <w:rFonts w:ascii="黑体" w:eastAsia="黑体"/>
          <w:sz w:val="28"/>
          <w:szCs w:val="28"/>
          <w:highlight w:val="none"/>
        </w:rPr>
        <w:t>一、</w:t>
      </w:r>
      <w:r>
        <w:rPr>
          <w:rFonts w:hint="eastAsia" w:ascii="黑体" w:eastAsia="黑体"/>
          <w:sz w:val="28"/>
          <w:szCs w:val="28"/>
          <w:highlight w:val="none"/>
        </w:rPr>
        <w:t>船舶运输服务安全、环保协议</w:t>
      </w:r>
    </w:p>
    <w:p>
      <w:pPr>
        <w:rPr>
          <w:sz w:val="28"/>
          <w:szCs w:val="28"/>
          <w:highlight w:val="none"/>
        </w:rPr>
      </w:pPr>
    </w:p>
    <w:p>
      <w:pPr>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w:t>
      </w:r>
    </w:p>
    <w:p>
      <w:pPr>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甲方：四川交投物流有限公司</w:t>
      </w:r>
    </w:p>
    <w:p>
      <w:pPr>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乙方：</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为了贯彻“安全第一，预防为主，综合治理。”的安全生产方针，规范乙方在承接甲方相关业务的安全行为，促使乙方加强本单位安全生产管理，建立、健全安全生产责任制度和切实有效的安全防范措施，确保安全生产。双方在平等自愿的基础上，经过充分协商达成如下协议并共同遵守：</w:t>
      </w:r>
    </w:p>
    <w:p>
      <w:pPr>
        <w:spacing w:line="360" w:lineRule="auto"/>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b/>
          <w:szCs w:val="21"/>
          <w:highlight w:val="none"/>
        </w:rPr>
        <w:t>一、协议期限：</w:t>
      </w:r>
    </w:p>
    <w:p>
      <w:pPr>
        <w:spacing w:line="360" w:lineRule="auto"/>
        <w:ind w:firstLine="420" w:firstLineChars="200"/>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szCs w:val="21"/>
          <w:highlight w:val="none"/>
        </w:rPr>
        <w:t>签订之日起至     年   月  日止</w:t>
      </w:r>
    </w:p>
    <w:p>
      <w:pPr>
        <w:spacing w:line="360" w:lineRule="auto"/>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b/>
          <w:szCs w:val="21"/>
          <w:highlight w:val="none"/>
        </w:rPr>
        <w:t>二、协议对象：</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kern w:val="0"/>
          <w:szCs w:val="21"/>
          <w:highlight w:val="none"/>
        </w:rPr>
        <w:t>与甲方签订相应项目运输合同并提供服务的乙方船舶。</w:t>
      </w:r>
    </w:p>
    <w:p>
      <w:pPr>
        <w:spacing w:line="360" w:lineRule="auto"/>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b/>
          <w:szCs w:val="21"/>
          <w:highlight w:val="none"/>
        </w:rPr>
        <w:t>三、双方责任：</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1、甲乙双方必须认真贯彻国家、地方等关于安全生产、环境保护工作的方针、政策，严格执行我公司制定的相关规章制度。</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2、甲乙双方在施工前要全面进行现场勘察，对涉及到施工安全、环境保护的有关问题，进一步交换意见，提出有效的防范措施。</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3、根据工程项目内容、特点，甲乙双方应做好安全、环保技术措施交底，并留有交底的书面材料，一式二份，双方确认后各执一份。</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 xml:space="preserve">4、双方均应及时收听气象，在大风来临之前，乙方应提前船舶到指定地点避风，乙方对本船上易动件进行加固，以防失落。 </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5、为防范大风等自然灾害给乙方船舶造成的损失，在有大风等自然灾害预警时，乙方有权根据现场实际情况，以及当地运输管理部门等上级单位的指令等，自行选择启动应急程序的时机，并通报甲方，该行为不造成违约。</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6、施工现场造成人员伤亡、火灾、船舶海损、机损、污染等事故，双方应全力组织抢救，防止事态和损失扩大，同时双方按事故报告程序通报上级，主管部门和地方政府。同时按照“四不放过”原则对事故进行严肃处理，并提出有效的改进和防范措施，防止重复性事故发生。</w:t>
      </w:r>
    </w:p>
    <w:p>
      <w:pPr>
        <w:spacing w:line="360" w:lineRule="auto"/>
        <w:ind w:firstLine="420" w:firstLineChars="200"/>
        <w:rPr>
          <w:rFonts w:asciiTheme="minorEastAsia" w:hAnsiTheme="minorEastAsia" w:eastAsiaTheme="minorEastAsia"/>
          <w:szCs w:val="21"/>
          <w:highlight w:val="none"/>
        </w:rPr>
      </w:pPr>
      <w:r>
        <w:rPr>
          <w:rFonts w:hint="eastAsia" w:cs="仿宋_GB2312" w:asciiTheme="minorEastAsia" w:hAnsiTheme="minorEastAsia" w:eastAsiaTheme="minorEastAsia"/>
          <w:bCs/>
          <w:szCs w:val="21"/>
          <w:highlight w:val="none"/>
        </w:rPr>
        <w:t>7、双方应坚持在签订船舶运输服务合同时签订本协议。</w:t>
      </w:r>
    </w:p>
    <w:p>
      <w:pPr>
        <w:spacing w:line="360" w:lineRule="auto"/>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b/>
          <w:szCs w:val="21"/>
          <w:highlight w:val="none"/>
        </w:rPr>
        <w:t>四、乙方责任和义务：</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1、乙方应严格遵守国家法律、法规及有关规定。自觉接受甲方和建设单位对安全生产工作的管理和指导。</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 xml:space="preserve">2、乙方船舶应有完好、齐全、有效的消防、救生设备，并具有有效的船舶检验证书、船舶国籍证书、船舶安全检查记录簿、船舶最低配员证书、船员适任证书及船舶性能资料，人证相符，并留在船上并向甲方提供证书复印件备查，报请当地运输管理部门备案，始终保持船舶的适航性，如因以上某项原因发生的事项，由乙方负责。 </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3、乙方必须按运输管理部门要求必须保持足够的最低配员，且所有人员按要求应持证上岗，明确所有人员的岗位职责并向甲方提供船员适任证书复印件及岗位职责责任书备查，无资格证书的船员严禁作业，否则发生事故和损失，全部由乙方负责。</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4、乙方必须服从甲方的安全、环境管理，遵守甲方的各项安全、环境规章制度，水上作业穿好救生衣，戴好安全帽。不准穿背心、短裤、拖鞋作业，严禁饮酒等，自觉接受甲方的检查、监督、指导和违章处理。如有违反，按甲方的相关规定处罚。</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5、乙方应每周召开一次安全例会，每月进行一次安全检查，每季进行一次消防救生演习，并记录完整、清晰，甲方有权进行监督检查。</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6、乙方应根据工程特点制定各项有关安全、环境保护措施和各类应急预案，提交甲方审查备案。乙方船舶在防抗热带气旋、防风暴潮应按照应急预案做好防措施。</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7、甲方对乙方进行安全检查时，乙方安全管理负责人应陪同进行，对所发现的问题和隐患，乙方应及时进行回复，甲乙双方应对所发现的问题和隐患进行讨论并确定整改措施，乙方应根据讨论的结果进行及时整改。对未及时整改,甲方有权按规定对其进行相应处罚、造成安全责任事故的,由乙方负责。</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8、乙方必须按规定做好所属人员的劳动防护用品发放、使用和职业健康工作。</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9、船舶在进行电气焊作业，须经当地运输管理部门审核批准，并办理“动火许可证”。按批准部门和甲方的要求方可进行作业。</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10、乙方在施工期间造成人员（包括他方人员）伤亡、火灾、环境污染、设备损坏等事故，乙方在组织现场抢险救援的同时应立即报告甲方，并按事故报告的有关规定程序及时报告上级主管单位及所在地政府主管部门。非甲方责任过失造成的各类事故，乙方单位应承担一切责任。</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11、负责与运输管理部门及当地政府主管部门的手续办理，费用自理；负责办理船舶财产保险，保险费用由乙方承担。办理后将保单和船舶有效证书一并提交甲方。</w:t>
      </w:r>
    </w:p>
    <w:p>
      <w:pPr>
        <w:spacing w:line="360" w:lineRule="auto"/>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b/>
          <w:szCs w:val="21"/>
          <w:highlight w:val="none"/>
        </w:rPr>
        <w:t>五、甲方责任和义务：</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1、在乙方提供所属船舶相应证书后甲方负责办理航行通告、施工许可证及有关手续。</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2、甲方应根据施工水域实际情况及船舶性能，合理安排生产，做到不违章指挥、不超性能使用，确保服务船舶的安全。</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3、甲方不得要求乙方进行超出船舶性能的作业。</w:t>
      </w:r>
    </w:p>
    <w:p>
      <w:pPr>
        <w:spacing w:line="360" w:lineRule="auto"/>
        <w:rPr>
          <w:rFonts w:cs="仿宋_GB2312" w:asciiTheme="minorEastAsia" w:hAnsiTheme="minorEastAsia" w:eastAsiaTheme="minorEastAsia"/>
          <w:b/>
          <w:szCs w:val="21"/>
          <w:highlight w:val="none"/>
        </w:rPr>
      </w:pPr>
      <w:r>
        <w:rPr>
          <w:rFonts w:hint="eastAsia" w:cs="仿宋_GB2312" w:asciiTheme="minorEastAsia" w:hAnsiTheme="minorEastAsia" w:eastAsiaTheme="minorEastAsia"/>
          <w:b/>
          <w:szCs w:val="21"/>
          <w:highlight w:val="none"/>
        </w:rPr>
        <w:t>六、双方特别约定</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1、甲乙双方不得违章指挥，严禁超载作业。否则由此产生的后果由事故责任方负责。</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2、甲乙双方必须严格执行本协议，由于违反本协议而造成的事故，各自按照法律规定承担相应的责任。</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3、本协议不尽事宜双方应友好协商解决。</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4、本协议经双方签字盖章后生效，合同终止后自动失效。</w:t>
      </w:r>
    </w:p>
    <w:p>
      <w:pPr>
        <w:spacing w:line="360" w:lineRule="auto"/>
        <w:ind w:firstLine="420" w:firstLineChars="200"/>
        <w:rPr>
          <w:rFonts w:cs="仿宋_GB2312" w:asciiTheme="minorEastAsia" w:hAnsiTheme="minorEastAsia" w:eastAsiaTheme="minorEastAsia"/>
          <w:bCs/>
          <w:szCs w:val="21"/>
          <w:highlight w:val="none"/>
        </w:rPr>
      </w:pPr>
      <w:r>
        <w:rPr>
          <w:rFonts w:hint="eastAsia" w:cs="仿宋_GB2312" w:asciiTheme="minorEastAsia" w:hAnsiTheme="minorEastAsia" w:eastAsiaTheme="minorEastAsia"/>
          <w:bCs/>
          <w:szCs w:val="21"/>
          <w:highlight w:val="none"/>
        </w:rPr>
        <w:t>5、本协议一式两份，甲乙双方各执一份。</w:t>
      </w:r>
    </w:p>
    <w:p>
      <w:pPr>
        <w:spacing w:line="360" w:lineRule="auto"/>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甲方代表（签字盖章）               乙方代表（签字盖章）</w:t>
      </w:r>
    </w:p>
    <w:p>
      <w:pPr>
        <w:spacing w:line="360" w:lineRule="auto"/>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年     月     日                  年     月     日</w:t>
      </w:r>
    </w:p>
    <w:p>
      <w:pPr>
        <w:spacing w:line="360" w:lineRule="auto"/>
        <w:rPr>
          <w:rFonts w:asciiTheme="minorEastAsia" w:hAnsiTheme="minorEastAsia" w:eastAsiaTheme="minorEastAsia"/>
          <w:szCs w:val="21"/>
          <w:highlight w:val="none"/>
        </w:rPr>
      </w:pPr>
    </w:p>
    <w:p>
      <w:pPr>
        <w:rPr>
          <w:highlight w:val="none"/>
        </w:rPr>
      </w:pPr>
      <w:r>
        <w:rPr>
          <w:highlight w:val="none"/>
        </w:rPr>
        <w:br w:type="page"/>
      </w:r>
    </w:p>
    <w:p>
      <w:pPr>
        <w:jc w:val="left"/>
        <w:rPr>
          <w:rFonts w:ascii="黑体" w:eastAsia="黑体"/>
          <w:sz w:val="28"/>
          <w:szCs w:val="28"/>
          <w:highlight w:val="none"/>
        </w:rPr>
      </w:pPr>
      <w:r>
        <w:rPr>
          <w:rFonts w:hint="eastAsia" w:ascii="黑体" w:eastAsia="黑体"/>
          <w:sz w:val="28"/>
          <w:szCs w:val="28"/>
          <w:highlight w:val="none"/>
        </w:rPr>
        <w:t>附件二</w:t>
      </w:r>
      <w:r>
        <w:rPr>
          <w:rFonts w:ascii="黑体" w:eastAsia="黑体"/>
          <w:sz w:val="28"/>
          <w:szCs w:val="28"/>
          <w:highlight w:val="none"/>
        </w:rPr>
        <w:t>、</w:t>
      </w:r>
      <w:r>
        <w:rPr>
          <w:rFonts w:hint="eastAsia" w:ascii="黑体" w:eastAsia="黑体"/>
          <w:sz w:val="28"/>
          <w:szCs w:val="28"/>
          <w:highlight w:val="none"/>
        </w:rPr>
        <w:t>廉洁合同</w:t>
      </w:r>
    </w:p>
    <w:p>
      <w:pPr>
        <w:adjustRightInd w:val="0"/>
        <w:snapToGrid w:val="0"/>
        <w:spacing w:line="360" w:lineRule="auto"/>
        <w:ind w:firstLine="420" w:firstLineChars="200"/>
        <w:rPr>
          <w:rFonts w:cs="仿宋_GB2312" w:asciiTheme="minorEastAsia" w:hAnsiTheme="minorEastAsia" w:eastAsiaTheme="minorEastAsia"/>
          <w:szCs w:val="21"/>
          <w:highlight w:val="none"/>
        </w:rPr>
      </w:pPr>
    </w:p>
    <w:p>
      <w:pPr>
        <w:adjustRightInd w:val="0"/>
        <w:snapToGrid w:val="0"/>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lang w:val="zh-CN"/>
        </w:rPr>
        <w:t>甲方</w:t>
      </w:r>
      <w:r>
        <w:rPr>
          <w:rFonts w:hint="eastAsia" w:cs="仿宋_GB2312" w:asciiTheme="minorEastAsia" w:hAnsiTheme="minorEastAsia" w:eastAsiaTheme="minorEastAsia"/>
          <w:szCs w:val="21"/>
          <w:highlight w:val="none"/>
        </w:rPr>
        <w:t>：</w:t>
      </w:r>
      <w:r>
        <w:rPr>
          <w:rFonts w:hint="eastAsia" w:cs="仿宋_GB2312" w:asciiTheme="minorEastAsia" w:hAnsiTheme="minorEastAsia" w:eastAsiaTheme="minorEastAsia"/>
          <w:kern w:val="0"/>
          <w:szCs w:val="21"/>
          <w:highlight w:val="none"/>
          <w:u w:val="single"/>
        </w:rPr>
        <w:t xml:space="preserve">四川交投物流有限公司  </w:t>
      </w:r>
    </w:p>
    <w:p>
      <w:pPr>
        <w:adjustRightInd w:val="0"/>
        <w:snapToGrid w:val="0"/>
        <w:spacing w:line="360" w:lineRule="auto"/>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 xml:space="preserve">    </w:t>
      </w:r>
      <w:r>
        <w:rPr>
          <w:rFonts w:hint="eastAsia" w:cs="仿宋_GB2312" w:asciiTheme="minorEastAsia" w:hAnsiTheme="minorEastAsia" w:eastAsiaTheme="minorEastAsia"/>
          <w:szCs w:val="21"/>
          <w:highlight w:val="none"/>
          <w:lang w:val="zh-CN"/>
        </w:rPr>
        <w:t>乙方</w:t>
      </w:r>
      <w:r>
        <w:rPr>
          <w:rFonts w:hint="eastAsia" w:cs="仿宋_GB2312" w:asciiTheme="minorEastAsia" w:hAnsiTheme="minorEastAsia" w:eastAsiaTheme="minorEastAsia"/>
          <w:szCs w:val="21"/>
          <w:highlight w:val="none"/>
        </w:rPr>
        <w:t>：</w:t>
      </w:r>
      <w:r>
        <w:rPr>
          <w:rFonts w:hint="eastAsia" w:cs="仿宋_GB2312" w:asciiTheme="minorEastAsia" w:hAnsiTheme="minorEastAsia" w:eastAsiaTheme="minorEastAsia"/>
          <w:szCs w:val="21"/>
          <w:highlight w:val="none"/>
          <w:u w:val="single"/>
        </w:rPr>
        <w:t xml:space="preserve">  </w:t>
      </w:r>
      <w:r>
        <w:rPr>
          <w:rFonts w:cs="仿宋_GB2312" w:asciiTheme="minorEastAsia" w:hAnsiTheme="minorEastAsia" w:eastAsiaTheme="minorEastAsia"/>
          <w:szCs w:val="21"/>
          <w:highlight w:val="none"/>
          <w:u w:val="single"/>
        </w:rPr>
        <w:t xml:space="preserve">                  </w:t>
      </w:r>
      <w:r>
        <w:rPr>
          <w:rFonts w:hint="eastAsia" w:cs="仿宋_GB2312" w:asciiTheme="minorEastAsia" w:hAnsiTheme="minorEastAsia" w:eastAsiaTheme="minorEastAsia"/>
          <w:szCs w:val="21"/>
          <w:highlight w:val="none"/>
        </w:rPr>
        <w:t xml:space="preserve"> </w:t>
      </w:r>
    </w:p>
    <w:p>
      <w:pPr>
        <w:adjustRightInd w:val="0"/>
        <w:snapToGrid w:val="0"/>
        <w:spacing w:line="360" w:lineRule="auto"/>
        <w:rPr>
          <w:rFonts w:cs="仿宋_GB2312" w:asciiTheme="minorEastAsia" w:hAnsiTheme="minorEastAsia" w:eastAsiaTheme="minorEastAsia"/>
          <w:szCs w:val="21"/>
          <w:highlight w:val="none"/>
        </w:rPr>
      </w:pP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甲乙双方经协商拟签订《*</w:t>
      </w:r>
      <w:r>
        <w:rPr>
          <w:rFonts w:cs="仿宋_GB2312" w:asciiTheme="minorEastAsia" w:hAnsiTheme="minorEastAsia" w:eastAsiaTheme="minorEastAsia"/>
          <w:szCs w:val="21"/>
          <w:highlight w:val="none"/>
          <w:lang w:val="zh-CN"/>
        </w:rPr>
        <w:t>*</w:t>
      </w:r>
      <w:r>
        <w:rPr>
          <w:rFonts w:hint="eastAsia" w:cs="仿宋_GB2312" w:asciiTheme="minorEastAsia" w:hAnsiTheme="minorEastAsia" w:eastAsiaTheme="minorEastAsia"/>
          <w:szCs w:val="21"/>
          <w:highlight w:val="none"/>
          <w:lang w:val="zh-CN"/>
        </w:rPr>
        <w:t xml:space="preserve">运输合同》，为确保经济合同双方在签订和履约过程中严格遵守国家法律和党纪、政纪，保证双方的合法利益不受损害，共同维护公平、公正、廉洁的市场秩序，防止商业贿赂行为和违法乱纪行为的发生，甲乙双方经友好协商在签订《水泥采购合同》同时，签订本廉洁合同，供双方及其工作人员共同遵守： </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一、甲方人员应遵守以下条款：</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﹙一﹚甲方人员参加乙方组织的各种会议和活动，须经主管领导同意；在业务活动中发现乙方单位有不廉洁的行为，应及时采取措施，终止其不廉洁行为的继续发生，并报告主管领导。</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﹙二﹚甲方工作人员（含家属、子女，下同）不得以任何形式向乙方索要赞助和收受回扣等好处费。</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三﹚甲方工作人员应当保持与乙方的正常业务交往，不得接受乙方的礼金、有价证券和贵重物品，难以拒收的，必须按有关规定登记上交；不得向乙方索要（或接受）通讯工具、交通工具、家电及高档办公用品，不得在乙方报销任何应由单位或个人支付的费用。</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﹙四﹚甲方工作人员不得参加可能影响公正执行公务的宴请和高消费的娱乐活动。</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﹙五﹚甲方工作人员不得要求或者接受乙方为其住房装修、婚丧嫁娶、家属和子女的工作安排，以及出国出境提乙方便; 不得向乙方单位及人员借款或委托买卖股票、债券、房屋等动产或不动产。</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﹙六﹚甲方工作人员不得以考察、参观等名义参加乙方安排的国内外旅游活动。</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﹙七﹚甲方工作人员不得向乙方介绍家属或亲友从事与甲方业务有关的经济活动。</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 xml:space="preserve">﹙八﹚甲方人员不得有向乙方暗示或索取、收受钱物等吃、拿、卡、要现象的发生。一经发现，将视情节给予批评、教育、处罚、调离岗位和党纪、政纪处理，直至移交司法机关追究法律责任。 </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二、乙方人员应遵守以下条款：</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（一）乙方有责任对本单位业务人员进行廉政教育（包括甲方单位制定的有关廉政建设方面的规定），按时出席甲方召集的有关会议。</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（二）乙方应当通过正常途径开展相关业务工作，不得为获取某些不正当利益而向甲方工作人员（含家属、子女下同）赠送礼金、有价证券和贵重物品等。</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（三）乙方工作人员不得为谋取私利擅自与甲方工作人员就业务合作问题进行私下商谈或者达成默契。</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（四）乙方不得以洽谈业务、签订合同等为借口，邀请甲方工作人员外出旅游或进入营业性高档娱乐场所。</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（五）、乙方不得为甲方单位和个人购置或者提供通讯工具、交通工具、家电及高档办公用品等物品。</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六）乙方不得有向甲方人员提供回扣、赠送礼品、贿赂拉扰等行为的发生。一经发现，甲方有权对乙方给予经济处罚，如情节严重，对甲方造成经济损失和不良社会影响乙方将承担相应的经济赔偿；情节特别严重时，甲方可认为乙方以商业贿赂手段非法获取本经济合同，有权终止合同，并由乙方承担全部经济损失，同时移交司法机关进行查处。</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 xml:space="preserve">三、本合同与经济合同一并签订，双方签字后即行生效。 </w:t>
      </w:r>
    </w:p>
    <w:p>
      <w:pPr>
        <w:adjustRightInd w:val="0"/>
        <w:snapToGrid w:val="0"/>
        <w:spacing w:line="360" w:lineRule="auto"/>
        <w:ind w:firstLine="420" w:firstLineChars="200"/>
        <w:rPr>
          <w:rFonts w:cs="仿宋_GB2312" w:asciiTheme="minorEastAsia" w:hAnsiTheme="minorEastAsia" w:eastAsiaTheme="minorEastAsia"/>
          <w:szCs w:val="21"/>
          <w:highlight w:val="none"/>
          <w:lang w:val="zh-CN"/>
        </w:rPr>
      </w:pPr>
    </w:p>
    <w:p>
      <w:pPr>
        <w:adjustRightInd w:val="0"/>
        <w:snapToGrid w:val="0"/>
        <w:spacing w:line="360" w:lineRule="auto"/>
        <w:rPr>
          <w:rFonts w:cs="仿宋_GB2312" w:asciiTheme="minorEastAsia" w:hAnsiTheme="minorEastAsia" w:eastAsiaTheme="minorEastAsia"/>
          <w:szCs w:val="21"/>
          <w:highlight w:val="none"/>
          <w:lang w:val="zh-CN"/>
        </w:rPr>
      </w:pPr>
      <w:r>
        <w:rPr>
          <w:rFonts w:hint="eastAsia" w:cs="仿宋_GB2312" w:asciiTheme="minorEastAsia" w:hAnsiTheme="minorEastAsia" w:eastAsiaTheme="minorEastAsia"/>
          <w:szCs w:val="21"/>
          <w:highlight w:val="none"/>
          <w:lang w:val="zh-CN"/>
        </w:rPr>
        <w:t>甲方单位（公章）             </w:t>
      </w:r>
      <w:r>
        <w:rPr>
          <w:rFonts w:hint="eastAsia" w:cs="仿宋_GB2312" w:asciiTheme="minorEastAsia" w:hAnsiTheme="minorEastAsia" w:eastAsiaTheme="minorEastAsia"/>
          <w:szCs w:val="21"/>
          <w:highlight w:val="none"/>
        </w:rPr>
        <w:t xml:space="preserve">  </w:t>
      </w:r>
      <w:r>
        <w:rPr>
          <w:rFonts w:hint="eastAsia" w:cs="仿宋_GB2312" w:asciiTheme="minorEastAsia" w:hAnsiTheme="minorEastAsia" w:eastAsiaTheme="minorEastAsia"/>
          <w:szCs w:val="21"/>
          <w:highlight w:val="none"/>
          <w:lang w:val="zh-CN"/>
        </w:rPr>
        <w:t xml:space="preserve">乙方单位（公章） </w:t>
      </w:r>
    </w:p>
    <w:p>
      <w:pPr>
        <w:adjustRightInd w:val="0"/>
        <w:snapToGrid w:val="0"/>
        <w:spacing w:line="360" w:lineRule="auto"/>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 xml:space="preserve">法定代表人                           </w:t>
      </w:r>
      <w:r>
        <w:rPr>
          <w:rFonts w:cs="仿宋_GB2312" w:asciiTheme="minorEastAsia" w:hAnsiTheme="minorEastAsia" w:eastAsiaTheme="minorEastAsia"/>
          <w:szCs w:val="21"/>
          <w:highlight w:val="none"/>
        </w:rPr>
        <w:t xml:space="preserve">     </w:t>
      </w:r>
      <w:r>
        <w:rPr>
          <w:rFonts w:hint="eastAsia" w:cs="仿宋_GB2312" w:asciiTheme="minorEastAsia" w:hAnsiTheme="minorEastAsia" w:eastAsiaTheme="minorEastAsia"/>
          <w:szCs w:val="21"/>
          <w:highlight w:val="none"/>
        </w:rPr>
        <w:t xml:space="preserve"> 法定代表人</w:t>
      </w:r>
    </w:p>
    <w:p>
      <w:pPr>
        <w:adjustRightInd w:val="0"/>
        <w:snapToGrid w:val="0"/>
        <w:spacing w:line="360" w:lineRule="auto"/>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 xml:space="preserve">或其授权代表：                       </w:t>
      </w:r>
      <w:r>
        <w:rPr>
          <w:rFonts w:cs="仿宋_GB2312" w:asciiTheme="minorEastAsia" w:hAnsiTheme="minorEastAsia" w:eastAsiaTheme="minorEastAsia"/>
          <w:szCs w:val="21"/>
          <w:highlight w:val="none"/>
        </w:rPr>
        <w:t xml:space="preserve"> </w:t>
      </w:r>
      <w:r>
        <w:rPr>
          <w:rFonts w:hint="eastAsia" w:cs="仿宋_GB2312" w:asciiTheme="minorEastAsia" w:hAnsiTheme="minorEastAsia" w:eastAsiaTheme="minorEastAsia"/>
          <w:szCs w:val="21"/>
          <w:highlight w:val="none"/>
        </w:rPr>
        <w:t xml:space="preserve">  或其授权代表： </w:t>
      </w:r>
    </w:p>
    <w:p>
      <w:pPr>
        <w:adjustRightInd w:val="0"/>
        <w:snapToGrid w:val="0"/>
        <w:spacing w:line="360" w:lineRule="auto"/>
        <w:ind w:firstLine="315" w:firstLineChars="150"/>
        <w:rPr>
          <w:rFonts w:cs="仿宋_GB2312" w:asciiTheme="minorEastAsia" w:hAnsiTheme="minorEastAsia" w:eastAsiaTheme="minorEastAsia"/>
          <w:szCs w:val="21"/>
          <w:highlight w:val="none"/>
          <w:u w:color="FFFFFF" w:themeColor="background1"/>
        </w:rPr>
      </w:pPr>
      <w:r>
        <w:rPr>
          <w:rFonts w:hint="eastAsia" w:cs="仿宋_GB2312" w:asciiTheme="minorEastAsia" w:hAnsiTheme="minorEastAsia" w:eastAsiaTheme="minorEastAsia"/>
          <w:szCs w:val="21"/>
          <w:highlight w:val="none"/>
          <w:u w:color="FFFFFF" w:themeColor="background1"/>
        </w:rPr>
        <w:t xml:space="preserve">年   月   日                    </w:t>
      </w:r>
      <w:r>
        <w:rPr>
          <w:rFonts w:cs="仿宋_GB2312" w:asciiTheme="minorEastAsia" w:hAnsiTheme="minorEastAsia" w:eastAsiaTheme="minorEastAsia"/>
          <w:szCs w:val="21"/>
          <w:highlight w:val="none"/>
          <w:u w:color="FFFFFF" w:themeColor="background1"/>
        </w:rPr>
        <w:t xml:space="preserve">            </w:t>
      </w:r>
      <w:r>
        <w:rPr>
          <w:rFonts w:hint="eastAsia" w:cs="仿宋_GB2312" w:asciiTheme="minorEastAsia" w:hAnsiTheme="minorEastAsia" w:eastAsiaTheme="minorEastAsia"/>
          <w:szCs w:val="21"/>
          <w:highlight w:val="none"/>
          <w:u w:color="FFFFFF" w:themeColor="background1"/>
        </w:rPr>
        <w:t>年   月   日</w:t>
      </w:r>
    </w:p>
    <w:p>
      <w:pPr>
        <w:rPr>
          <w:rFonts w:ascii="仿宋_GB2312" w:hAnsi="仿宋_GB2312" w:eastAsia="仿宋_GB2312" w:cs="仿宋_GB2312"/>
          <w:sz w:val="24"/>
          <w:highlight w:val="none"/>
          <w:u w:color="FFFFFF" w:themeColor="background1"/>
        </w:rPr>
      </w:pPr>
      <w:r>
        <w:rPr>
          <w:rFonts w:ascii="仿宋_GB2312" w:hAnsi="仿宋_GB2312" w:eastAsia="仿宋_GB2312" w:cs="仿宋_GB2312"/>
          <w:sz w:val="24"/>
          <w:szCs w:val="24"/>
          <w:highlight w:val="none"/>
          <w:u w:color="FFFFFF" w:themeColor="background1"/>
        </w:rPr>
        <w:br w:type="page"/>
      </w:r>
    </w:p>
    <w:p>
      <w:pPr>
        <w:jc w:val="left"/>
        <w:rPr>
          <w:rFonts w:ascii="黑体" w:eastAsia="黑体"/>
          <w:sz w:val="28"/>
          <w:szCs w:val="28"/>
          <w:highlight w:val="none"/>
        </w:rPr>
      </w:pPr>
      <w:r>
        <w:rPr>
          <w:rFonts w:hint="eastAsia" w:ascii="黑体" w:eastAsia="黑体"/>
          <w:sz w:val="28"/>
          <w:szCs w:val="28"/>
          <w:highlight w:val="none"/>
        </w:rPr>
        <w:t>附加二</w:t>
      </w:r>
      <w:r>
        <w:rPr>
          <w:rFonts w:ascii="黑体" w:eastAsia="黑体"/>
          <w:sz w:val="28"/>
          <w:szCs w:val="28"/>
          <w:highlight w:val="none"/>
        </w:rPr>
        <w:t>-1</w:t>
      </w:r>
      <w:r>
        <w:rPr>
          <w:rFonts w:hint="eastAsia" w:ascii="黑体" w:eastAsia="黑体"/>
          <w:sz w:val="28"/>
          <w:szCs w:val="28"/>
          <w:highlight w:val="none"/>
        </w:rPr>
        <w:t>、廉洁承诺书</w:t>
      </w:r>
    </w:p>
    <w:p>
      <w:pPr>
        <w:spacing w:line="360" w:lineRule="auto"/>
        <w:ind w:firstLine="480" w:firstLineChars="200"/>
        <w:rPr>
          <w:rFonts w:ascii="仿宋_GB2312" w:hAnsi="仿宋_GB2312" w:eastAsia="仿宋_GB2312" w:cs="仿宋_GB2312"/>
          <w:sz w:val="24"/>
          <w:highlight w:val="none"/>
        </w:rPr>
      </w:pP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为增强需供双方信任，强化透明合法开展合作，防止违法乱纪等行为发生，共同维护双方的合法权益，本单位承诺如下： </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一、不以任何形式向贵公司相关人员（包括但不限于采购员、负责人、材料主管、检测相关人员、材料工、装载机驾驶员等）行贿，包括但不限于： </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向贵公司相关人员提供礼金、回扣、有价证券、支付凭证和贵重礼品等； </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以咨询费、服务费、劳务费等名义向贵公司相关人员支付费用； </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为贵公司相关人员购买、建造、装修、租赁私人住宅；</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为贵公司相关人员家属或亲友提供工作便利，以此为由提供挂名工资、红包、佣金报酬等； </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在合同签订、验收、付款等履约环节为获得便利向任何个人支付任何合同约定以外的费用；</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在与贵公司合作中，若发现贵公司相关人员明示或暗示要求收受贿赂，将立即向物流公司纪委监察部举报。（举报电话：028-86669172）  </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本单位承诺我方及股东等与贵公司及员工无利益关系。</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履约过程中，本单位相关人员有违反上述行为的，自愿承担违诺责任和法律后果。</w:t>
      </w:r>
    </w:p>
    <w:p>
      <w:pPr>
        <w:spacing w:line="360" w:lineRule="auto"/>
        <w:ind w:firstLine="840" w:firstLineChars="4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特此承诺！</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 xml:space="preserve">      </w:t>
      </w:r>
    </w:p>
    <w:p>
      <w:pPr>
        <w:spacing w:line="360" w:lineRule="auto"/>
        <w:ind w:firstLine="420" w:firstLineChars="200"/>
        <w:rPr>
          <w:rFonts w:cs="仿宋_GB2312" w:asciiTheme="minorEastAsia" w:hAnsiTheme="minorEastAsia" w:eastAsiaTheme="minorEastAsia"/>
          <w:szCs w:val="21"/>
          <w:highlight w:val="none"/>
        </w:rPr>
      </w:pPr>
    </w:p>
    <w:p>
      <w:pPr>
        <w:spacing w:line="360" w:lineRule="auto"/>
        <w:ind w:firstLine="3885" w:firstLineChars="185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承诺人签字（公章）：</w:t>
      </w:r>
    </w:p>
    <w:p>
      <w:pPr>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 xml:space="preserve">                                      </w:t>
      </w:r>
    </w:p>
    <w:p>
      <w:pPr>
        <w:spacing w:line="360" w:lineRule="auto"/>
        <w:ind w:firstLine="630" w:firstLineChars="300"/>
        <w:jc w:val="right"/>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年  月  日</w:t>
      </w:r>
    </w:p>
    <w:p>
      <w:pPr>
        <w:spacing w:line="540" w:lineRule="exact"/>
        <w:rPr>
          <w:rFonts w:cs="仿宋_GB2312" w:asciiTheme="minorEastAsia" w:hAnsiTheme="minorEastAsia" w:eastAsiaTheme="minorEastAsia"/>
          <w:szCs w:val="21"/>
          <w:highlight w:val="none"/>
          <w:u w:color="FFFFFF" w:themeColor="background1"/>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widowControl/>
        <w:snapToGrid w:val="0"/>
        <w:spacing w:before="120" w:beforeLines="50" w:after="120" w:afterLines="50"/>
        <w:textAlignment w:val="top"/>
        <w:rPr>
          <w:rFonts w:ascii="仿宋_GB2312" w:hAnsi="仿宋_GB2312" w:eastAsia="仿宋_GB2312" w:cs="仿宋_GB2312"/>
          <w:kern w:val="0"/>
          <w:sz w:val="28"/>
          <w:szCs w:val="28"/>
          <w:highlight w:val="none"/>
        </w:rPr>
      </w:pPr>
    </w:p>
    <w:p>
      <w:pPr>
        <w:spacing w:line="360" w:lineRule="auto"/>
        <w:rPr>
          <w:rFonts w:ascii="黑体" w:hAnsi="黑体" w:eastAsia="黑体" w:cs="宋体"/>
          <w:sz w:val="28"/>
          <w:szCs w:val="28"/>
          <w:highlight w:val="none"/>
        </w:rPr>
      </w:pPr>
      <w:r>
        <w:rPr>
          <w:rFonts w:hint="eastAsia" w:ascii="黑体" w:hAnsi="黑体" w:eastAsia="黑体" w:cs="宋体"/>
          <w:sz w:val="28"/>
          <w:szCs w:val="28"/>
          <w:highlight w:val="none"/>
        </w:rPr>
        <w:t>附件三</w:t>
      </w:r>
      <w:r>
        <w:rPr>
          <w:rFonts w:ascii="黑体" w:hAnsi="黑体" w:eastAsia="黑体" w:cs="宋体"/>
          <w:sz w:val="28"/>
          <w:szCs w:val="28"/>
          <w:highlight w:val="none"/>
        </w:rPr>
        <w:t>、</w:t>
      </w:r>
      <w:r>
        <w:rPr>
          <w:rFonts w:hint="eastAsia" w:ascii="黑体" w:hAnsi="黑体" w:eastAsia="黑体" w:cs="宋体"/>
          <w:sz w:val="28"/>
          <w:szCs w:val="28"/>
          <w:highlight w:val="none"/>
        </w:rPr>
        <w:t>项目经理最低要求</w:t>
      </w:r>
    </w:p>
    <w:p>
      <w:pPr>
        <w:rPr>
          <w:rFonts w:ascii="微软雅黑" w:hAnsi="微软雅黑" w:eastAsia="微软雅黑" w:cs="宋体"/>
          <w:szCs w:val="22"/>
          <w:highlight w:val="none"/>
        </w:rPr>
      </w:pPr>
    </w:p>
    <w:tbl>
      <w:tblPr>
        <w:tblStyle w:val="42"/>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221"/>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2" w:hRule="atLeast"/>
        </w:trPr>
        <w:tc>
          <w:tcPr>
            <w:tcW w:w="1422" w:type="dxa"/>
            <w:vAlign w:val="center"/>
          </w:tcPr>
          <w:p>
            <w:pPr>
              <w:jc w:val="center"/>
              <w:outlineLvl w:val="1"/>
              <w:rPr>
                <w:rFonts w:ascii="宋体" w:hAnsi="宋体" w:cs="宋体"/>
                <w:szCs w:val="21"/>
                <w:highlight w:val="none"/>
              </w:rPr>
            </w:pPr>
            <w:bookmarkStart w:id="515" w:name="_Toc50406509"/>
            <w:r>
              <w:rPr>
                <w:rFonts w:hint="eastAsia" w:ascii="宋体" w:hAnsi="宋体" w:cs="宋体"/>
                <w:szCs w:val="21"/>
                <w:highlight w:val="none"/>
              </w:rPr>
              <w:t>人员</w:t>
            </w:r>
            <w:bookmarkEnd w:id="515"/>
          </w:p>
        </w:tc>
        <w:tc>
          <w:tcPr>
            <w:tcW w:w="1221" w:type="dxa"/>
            <w:vAlign w:val="center"/>
          </w:tcPr>
          <w:p>
            <w:pPr>
              <w:jc w:val="center"/>
              <w:outlineLvl w:val="1"/>
              <w:rPr>
                <w:rFonts w:ascii="宋体" w:hAnsi="宋体" w:cs="宋体"/>
                <w:szCs w:val="21"/>
                <w:highlight w:val="none"/>
              </w:rPr>
            </w:pPr>
            <w:bookmarkStart w:id="516" w:name="_Toc50406510"/>
            <w:r>
              <w:rPr>
                <w:rFonts w:hint="eastAsia" w:ascii="宋体" w:hAnsi="宋体" w:cs="宋体"/>
                <w:szCs w:val="21"/>
                <w:highlight w:val="none"/>
              </w:rPr>
              <w:t>数量</w:t>
            </w:r>
            <w:bookmarkEnd w:id="516"/>
          </w:p>
        </w:tc>
        <w:tc>
          <w:tcPr>
            <w:tcW w:w="6063" w:type="dxa"/>
            <w:vAlign w:val="center"/>
          </w:tcPr>
          <w:p>
            <w:pPr>
              <w:jc w:val="center"/>
              <w:outlineLvl w:val="1"/>
              <w:rPr>
                <w:rFonts w:ascii="宋体" w:hAnsi="宋体" w:cs="宋体"/>
                <w:szCs w:val="21"/>
                <w:highlight w:val="none"/>
              </w:rPr>
            </w:pPr>
            <w:bookmarkStart w:id="517" w:name="_Toc50406511"/>
            <w:r>
              <w:rPr>
                <w:rFonts w:hint="eastAsia" w:ascii="宋体" w:hAnsi="宋体" w:cs="宋体"/>
                <w:szCs w:val="21"/>
                <w:highlight w:val="none"/>
              </w:rPr>
              <w:t>要求</w:t>
            </w:r>
            <w:bookmarkEnd w:id="5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22" w:type="dxa"/>
            <w:vAlign w:val="center"/>
          </w:tcPr>
          <w:p>
            <w:pPr>
              <w:jc w:val="center"/>
              <w:outlineLvl w:val="1"/>
              <w:rPr>
                <w:rFonts w:ascii="宋体" w:hAnsi="宋体" w:cs="宋体"/>
                <w:szCs w:val="21"/>
                <w:highlight w:val="none"/>
              </w:rPr>
            </w:pPr>
            <w:bookmarkStart w:id="518" w:name="_Toc50406512"/>
            <w:r>
              <w:rPr>
                <w:rFonts w:hint="eastAsia" w:ascii="宋体" w:hAnsi="宋体" w:cs="宋体"/>
                <w:szCs w:val="21"/>
                <w:highlight w:val="none"/>
              </w:rPr>
              <w:t>项目经理</w:t>
            </w:r>
            <w:bookmarkEnd w:id="518"/>
          </w:p>
        </w:tc>
        <w:tc>
          <w:tcPr>
            <w:tcW w:w="1221" w:type="dxa"/>
            <w:vAlign w:val="center"/>
          </w:tcPr>
          <w:p>
            <w:pPr>
              <w:jc w:val="center"/>
              <w:outlineLvl w:val="1"/>
              <w:rPr>
                <w:rFonts w:ascii="宋体" w:hAnsi="宋体" w:cs="宋体"/>
                <w:szCs w:val="21"/>
                <w:highlight w:val="none"/>
              </w:rPr>
            </w:pPr>
            <w:bookmarkStart w:id="519" w:name="_Toc50406513"/>
            <w:r>
              <w:rPr>
                <w:rFonts w:hint="eastAsia" w:ascii="宋体" w:hAnsi="宋体" w:cs="宋体"/>
                <w:szCs w:val="21"/>
                <w:highlight w:val="none"/>
              </w:rPr>
              <w:t>1</w:t>
            </w:r>
            <w:bookmarkEnd w:id="519"/>
          </w:p>
        </w:tc>
        <w:tc>
          <w:tcPr>
            <w:tcW w:w="6063" w:type="dxa"/>
            <w:vAlign w:val="center"/>
          </w:tcPr>
          <w:p>
            <w:pPr>
              <w:jc w:val="left"/>
              <w:outlineLvl w:val="1"/>
              <w:rPr>
                <w:rFonts w:ascii="宋体" w:hAnsi="宋体" w:cs="宋体"/>
                <w:szCs w:val="21"/>
                <w:highlight w:val="none"/>
              </w:rPr>
            </w:pPr>
            <w:bookmarkStart w:id="520" w:name="_Toc50406514"/>
            <w:r>
              <w:rPr>
                <w:rFonts w:hint="eastAsia" w:ascii="宋体" w:hAnsi="宋体" w:cs="宋体"/>
                <w:szCs w:val="21"/>
                <w:highlight w:val="none"/>
              </w:rPr>
              <w:t>大专及以上学历，至少担任过一个国内普通货物水路运输</w:t>
            </w:r>
            <w:r>
              <w:rPr>
                <w:rFonts w:hint="eastAsia" w:ascii="宋体" w:hAnsi="宋体" w:cs="宋体"/>
                <w:bCs/>
                <w:szCs w:val="21"/>
                <w:highlight w:val="none"/>
              </w:rPr>
              <w:t>项目</w:t>
            </w:r>
            <w:r>
              <w:rPr>
                <w:rFonts w:ascii="宋体" w:hAnsi="宋体" w:cs="宋体"/>
                <w:bCs/>
                <w:szCs w:val="21"/>
                <w:highlight w:val="none"/>
              </w:rPr>
              <w:t>项目经理</w:t>
            </w:r>
            <w:r>
              <w:rPr>
                <w:rFonts w:hint="eastAsia" w:ascii="宋体" w:hAnsi="宋体" w:cs="宋体"/>
                <w:bCs/>
                <w:szCs w:val="21"/>
                <w:highlight w:val="none"/>
              </w:rPr>
              <w:t>或项目负责人。</w:t>
            </w:r>
            <w:bookmarkEnd w:id="520"/>
          </w:p>
        </w:tc>
      </w:tr>
    </w:tbl>
    <w:p>
      <w:pPr>
        <w:rPr>
          <w:rFonts w:ascii="宋体" w:hAnsi="宋体" w:cs="宋体"/>
          <w:szCs w:val="22"/>
          <w:highlight w:val="none"/>
        </w:rPr>
      </w:pPr>
    </w:p>
    <w:p>
      <w:pPr>
        <w:spacing w:after="120"/>
        <w:ind w:firstLine="420" w:firstLineChars="200"/>
        <w:rPr>
          <w:rFonts w:ascii="宋体" w:hAnsi="宋体"/>
          <w:szCs w:val="21"/>
          <w:highlight w:val="none"/>
        </w:rPr>
      </w:pPr>
      <w:r>
        <w:rPr>
          <w:rFonts w:hint="eastAsia" w:ascii="宋体" w:hAnsi="宋体"/>
          <w:szCs w:val="21"/>
          <w:highlight w:val="none"/>
        </w:rPr>
        <w:t>注：</w:t>
      </w:r>
      <w:r>
        <w:rPr>
          <w:rFonts w:hint="eastAsia" w:ascii="宋体" w:hAnsi="宋体" w:cs="宋体"/>
          <w:szCs w:val="21"/>
          <w:highlight w:val="none"/>
        </w:rPr>
        <w:t>上述人员的具体人选由采购人和中标人在签订合同前确定，且经采购人审批后作为本标段的材料运输项目管理机构主要人员。</w:t>
      </w: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widowControl/>
        <w:spacing w:after="240" w:line="312" w:lineRule="auto"/>
        <w:ind w:firstLine="2210" w:firstLineChars="850"/>
        <w:jc w:val="left"/>
        <w:rPr>
          <w:rFonts w:ascii="仿宋" w:hAnsi="仿宋" w:eastAsia="仿宋" w:cs="仿宋"/>
          <w:kern w:val="0"/>
          <w:sz w:val="26"/>
          <w:szCs w:val="26"/>
          <w:highlight w:val="none"/>
        </w:rPr>
      </w:pPr>
    </w:p>
    <w:p>
      <w:pPr>
        <w:adjustRightInd w:val="0"/>
        <w:snapToGrid w:val="0"/>
        <w:spacing w:line="360" w:lineRule="auto"/>
        <w:ind w:firstLine="420" w:firstLineChars="200"/>
        <w:rPr>
          <w:color w:val="000000"/>
          <w:highlight w:val="none"/>
        </w:rPr>
      </w:pPr>
    </w:p>
    <w:p>
      <w:pPr>
        <w:adjustRightInd w:val="0"/>
        <w:snapToGrid w:val="0"/>
        <w:spacing w:line="360" w:lineRule="auto"/>
        <w:ind w:firstLine="420" w:firstLineChars="200"/>
        <w:rPr>
          <w:color w:val="000000"/>
          <w:highlight w:val="none"/>
        </w:rPr>
      </w:pPr>
    </w:p>
    <w:p>
      <w:pPr>
        <w:pStyle w:val="3"/>
        <w:spacing w:line="360" w:lineRule="exact"/>
        <w:jc w:val="center"/>
        <w:rPr>
          <w:rFonts w:ascii="宋体" w:hAnsi="宋体" w:eastAsia="宋体"/>
          <w:color w:val="000000"/>
          <w:sz w:val="36"/>
          <w:highlight w:val="none"/>
        </w:rPr>
      </w:pPr>
      <w:bookmarkStart w:id="521" w:name="_Toc50654856"/>
      <w:r>
        <w:rPr>
          <w:rFonts w:hint="eastAsia" w:ascii="宋体" w:hAnsi="宋体" w:eastAsia="宋体"/>
          <w:color w:val="000000"/>
          <w:sz w:val="36"/>
          <w:highlight w:val="none"/>
        </w:rPr>
        <w:t>第六章  评审方法</w:t>
      </w:r>
      <w:bookmarkEnd w:id="521"/>
    </w:p>
    <w:p>
      <w:pPr>
        <w:adjustRightInd w:val="0"/>
        <w:snapToGrid w:val="0"/>
        <w:spacing w:line="360" w:lineRule="auto"/>
        <w:ind w:firstLine="420" w:firstLineChars="200"/>
        <w:rPr>
          <w:color w:val="000000"/>
          <w:highlight w:val="none"/>
        </w:rPr>
      </w:pPr>
    </w:p>
    <w:p>
      <w:pPr>
        <w:spacing w:line="360" w:lineRule="auto"/>
        <w:ind w:firstLine="413" w:firstLineChars="196"/>
        <w:outlineLvl w:val="1"/>
        <w:rPr>
          <w:rFonts w:ascii="宋体" w:hAnsi="宋体"/>
          <w:b/>
          <w:bCs/>
          <w:color w:val="000000"/>
          <w:szCs w:val="21"/>
          <w:highlight w:val="none"/>
        </w:rPr>
      </w:pPr>
      <w:bookmarkStart w:id="522" w:name="_Toc50654857"/>
      <w:r>
        <w:rPr>
          <w:rFonts w:hint="eastAsia" w:ascii="宋体" w:hAnsi="宋体"/>
          <w:b/>
          <w:bCs/>
          <w:color w:val="000000"/>
          <w:szCs w:val="21"/>
          <w:highlight w:val="none"/>
        </w:rPr>
        <w:t>1.总则</w:t>
      </w:r>
      <w:bookmarkEnd w:id="522"/>
    </w:p>
    <w:p>
      <w:pPr>
        <w:spacing w:line="360" w:lineRule="auto"/>
        <w:ind w:firstLine="413" w:firstLineChars="196"/>
        <w:outlineLvl w:val="1"/>
        <w:rPr>
          <w:rFonts w:ascii="宋体" w:hAnsi="宋体"/>
          <w:bCs/>
          <w:color w:val="000000"/>
          <w:szCs w:val="21"/>
          <w:highlight w:val="none"/>
        </w:rPr>
      </w:pPr>
      <w:bookmarkStart w:id="523" w:name="_Toc50654858"/>
      <w:r>
        <w:rPr>
          <w:rFonts w:hint="eastAsia" w:ascii="宋体" w:hAnsi="宋体"/>
          <w:b/>
          <w:bCs/>
          <w:color w:val="000000"/>
          <w:szCs w:val="21"/>
          <w:highlight w:val="none"/>
        </w:rPr>
        <w:t xml:space="preserve">1.1 </w:t>
      </w:r>
      <w:r>
        <w:rPr>
          <w:rFonts w:hint="eastAsia" w:ascii="宋体" w:hAnsi="宋体"/>
          <w:bCs/>
          <w:color w:val="000000"/>
          <w:szCs w:val="21"/>
          <w:highlight w:val="none"/>
        </w:rPr>
        <w:t>根据《中华人民共和国招标投标法》、《中华人民共和国招标投标实施条例》、并参照《政府采购非招标采购方式管理办法》等法律制度，结合采购项目特点制定本谈判办法。</w:t>
      </w:r>
      <w:bookmarkEnd w:id="523"/>
    </w:p>
    <w:p>
      <w:pPr>
        <w:spacing w:line="360" w:lineRule="auto"/>
        <w:ind w:firstLine="413" w:firstLineChars="196"/>
        <w:outlineLvl w:val="1"/>
        <w:rPr>
          <w:rFonts w:ascii="宋体" w:hAnsi="宋体"/>
          <w:bCs/>
          <w:color w:val="000000"/>
          <w:szCs w:val="21"/>
          <w:highlight w:val="none"/>
        </w:rPr>
      </w:pPr>
      <w:bookmarkStart w:id="524" w:name="_Toc50654859"/>
      <w:r>
        <w:rPr>
          <w:rFonts w:hint="eastAsia" w:ascii="宋体" w:hAnsi="宋体"/>
          <w:b/>
          <w:bCs/>
          <w:color w:val="000000"/>
          <w:szCs w:val="21"/>
          <w:highlight w:val="none"/>
        </w:rPr>
        <w:t>1.2</w:t>
      </w:r>
      <w:r>
        <w:rPr>
          <w:rFonts w:hint="eastAsia" w:ascii="宋体" w:hAnsi="宋体"/>
          <w:bCs/>
          <w:color w:val="000000"/>
          <w:szCs w:val="21"/>
          <w:highlight w:val="none"/>
        </w:rPr>
        <w:t xml:space="preserve"> 谈判工作由采购代理机构负责组织，具体谈判由招标人依法组建的谈判小组负责。</w:t>
      </w:r>
      <w:bookmarkEnd w:id="524"/>
    </w:p>
    <w:p>
      <w:pPr>
        <w:spacing w:line="360" w:lineRule="auto"/>
        <w:ind w:firstLine="413" w:firstLineChars="196"/>
        <w:outlineLvl w:val="1"/>
        <w:rPr>
          <w:rFonts w:ascii="宋体" w:hAnsi="宋体"/>
          <w:bCs/>
          <w:color w:val="000000"/>
          <w:szCs w:val="21"/>
          <w:highlight w:val="none"/>
        </w:rPr>
      </w:pPr>
      <w:bookmarkStart w:id="525" w:name="_Toc50654860"/>
      <w:r>
        <w:rPr>
          <w:rFonts w:hint="eastAsia" w:ascii="宋体" w:hAnsi="宋体"/>
          <w:b/>
          <w:bCs/>
          <w:color w:val="000000"/>
          <w:szCs w:val="21"/>
          <w:highlight w:val="none"/>
        </w:rPr>
        <w:t>1.3</w:t>
      </w:r>
      <w:r>
        <w:rPr>
          <w:rFonts w:hint="eastAsia" w:ascii="宋体" w:hAnsi="宋体"/>
          <w:bCs/>
          <w:color w:val="000000"/>
          <w:szCs w:val="21"/>
          <w:highlight w:val="none"/>
        </w:rPr>
        <w:t xml:space="preserve"> 谈判工作应遵循公平、公正、科学及择优的原则，并以相同的谈判程序和标准对待所有的投标人。</w:t>
      </w:r>
      <w:bookmarkEnd w:id="525"/>
    </w:p>
    <w:p>
      <w:pPr>
        <w:spacing w:line="360" w:lineRule="auto"/>
        <w:ind w:firstLine="413" w:firstLineChars="196"/>
        <w:outlineLvl w:val="1"/>
        <w:rPr>
          <w:rFonts w:ascii="宋体" w:hAnsi="宋体"/>
          <w:bCs/>
          <w:color w:val="000000"/>
          <w:szCs w:val="21"/>
          <w:highlight w:val="none"/>
        </w:rPr>
      </w:pPr>
      <w:bookmarkStart w:id="526" w:name="_Toc50654861"/>
      <w:r>
        <w:rPr>
          <w:rFonts w:hint="eastAsia" w:ascii="宋体" w:hAnsi="宋体"/>
          <w:b/>
          <w:bCs/>
          <w:color w:val="000000"/>
          <w:szCs w:val="21"/>
          <w:highlight w:val="none"/>
        </w:rPr>
        <w:t>1.4</w:t>
      </w:r>
      <w:r>
        <w:rPr>
          <w:rFonts w:hint="eastAsia" w:ascii="宋体" w:hAnsi="宋体"/>
          <w:bCs/>
          <w:color w:val="000000"/>
          <w:szCs w:val="21"/>
          <w:highlight w:val="none"/>
        </w:rPr>
        <w:t xml:space="preserve"> 谈判小组按照谈判文件规定的谈判方法和标准进行谈判，并独立履行下列职责：</w:t>
      </w:r>
      <w:bookmarkEnd w:id="526"/>
    </w:p>
    <w:p>
      <w:pPr>
        <w:spacing w:line="360" w:lineRule="auto"/>
        <w:ind w:firstLine="411" w:firstLineChars="196"/>
        <w:outlineLvl w:val="1"/>
        <w:rPr>
          <w:rFonts w:ascii="宋体" w:hAnsi="宋体"/>
          <w:bCs/>
          <w:color w:val="000000"/>
          <w:szCs w:val="21"/>
          <w:highlight w:val="none"/>
        </w:rPr>
      </w:pPr>
      <w:bookmarkStart w:id="527" w:name="_Toc50654862"/>
      <w:r>
        <w:rPr>
          <w:rFonts w:hint="eastAsia" w:ascii="宋体" w:hAnsi="宋体"/>
          <w:bCs/>
          <w:color w:val="000000"/>
          <w:szCs w:val="21"/>
          <w:highlight w:val="none"/>
        </w:rPr>
        <w:t>（一）熟悉和理解谈判文件，确定谈判文件内容是否违反国家有关强制性规定或者谈判文件存在歧义、重大缺陷；</w:t>
      </w:r>
      <w:bookmarkEnd w:id="527"/>
    </w:p>
    <w:p>
      <w:pPr>
        <w:spacing w:line="360" w:lineRule="auto"/>
        <w:ind w:firstLine="411" w:firstLineChars="196"/>
        <w:outlineLvl w:val="1"/>
        <w:rPr>
          <w:rFonts w:ascii="宋体" w:hAnsi="宋体"/>
          <w:bCs/>
          <w:color w:val="000000"/>
          <w:szCs w:val="21"/>
          <w:highlight w:val="none"/>
        </w:rPr>
      </w:pPr>
      <w:bookmarkStart w:id="528" w:name="_Toc50654863"/>
      <w:r>
        <w:rPr>
          <w:rFonts w:hint="eastAsia" w:ascii="宋体" w:hAnsi="宋体"/>
          <w:bCs/>
          <w:color w:val="000000"/>
          <w:szCs w:val="21"/>
          <w:highlight w:val="none"/>
        </w:rPr>
        <w:t>（二）审查投标人响应文件是否满足谈判文件要求，并做出公正评价；</w:t>
      </w:r>
      <w:bookmarkEnd w:id="528"/>
    </w:p>
    <w:p>
      <w:pPr>
        <w:spacing w:line="360" w:lineRule="auto"/>
        <w:ind w:firstLine="411" w:firstLineChars="196"/>
        <w:outlineLvl w:val="1"/>
        <w:rPr>
          <w:rFonts w:ascii="宋体" w:hAnsi="宋体"/>
          <w:bCs/>
          <w:color w:val="000000"/>
          <w:szCs w:val="21"/>
          <w:highlight w:val="none"/>
        </w:rPr>
      </w:pPr>
      <w:bookmarkStart w:id="529" w:name="_Toc50654864"/>
      <w:r>
        <w:rPr>
          <w:rFonts w:hint="eastAsia" w:ascii="宋体" w:hAnsi="宋体"/>
          <w:bCs/>
          <w:color w:val="000000"/>
          <w:szCs w:val="21"/>
          <w:highlight w:val="none"/>
        </w:rPr>
        <w:t>（三）根据需要要求投标人对谈判文件有关事项做出澄清、说明或者纠正；</w:t>
      </w:r>
      <w:bookmarkEnd w:id="529"/>
    </w:p>
    <w:p>
      <w:pPr>
        <w:spacing w:line="360" w:lineRule="auto"/>
        <w:ind w:firstLine="411" w:firstLineChars="196"/>
        <w:outlineLvl w:val="1"/>
        <w:rPr>
          <w:rFonts w:ascii="宋体" w:hAnsi="宋体"/>
          <w:bCs/>
          <w:color w:val="000000"/>
          <w:szCs w:val="21"/>
          <w:highlight w:val="none"/>
        </w:rPr>
      </w:pPr>
      <w:bookmarkStart w:id="530" w:name="_Toc50654865"/>
      <w:r>
        <w:rPr>
          <w:rFonts w:hint="eastAsia" w:ascii="宋体" w:hAnsi="宋体"/>
          <w:bCs/>
          <w:color w:val="000000"/>
          <w:szCs w:val="21"/>
          <w:highlight w:val="none"/>
        </w:rPr>
        <w:t>（四）推荐成交</w:t>
      </w:r>
      <w:r>
        <w:rPr>
          <w:rFonts w:hint="eastAsia" w:ascii="宋体" w:hAnsi="宋体" w:cs="宋体"/>
          <w:szCs w:val="21"/>
          <w:highlight w:val="none"/>
        </w:rPr>
        <w:t>投标人</w:t>
      </w:r>
      <w:r>
        <w:rPr>
          <w:rFonts w:hint="eastAsia" w:ascii="宋体" w:hAnsi="宋体"/>
          <w:bCs/>
          <w:color w:val="000000"/>
          <w:szCs w:val="21"/>
          <w:highlight w:val="none"/>
        </w:rPr>
        <w:t>；</w:t>
      </w:r>
      <w:bookmarkEnd w:id="530"/>
    </w:p>
    <w:p>
      <w:pPr>
        <w:spacing w:line="360" w:lineRule="auto"/>
        <w:ind w:firstLine="411" w:firstLineChars="196"/>
        <w:outlineLvl w:val="1"/>
        <w:rPr>
          <w:rFonts w:ascii="宋体" w:hAnsi="宋体"/>
          <w:bCs/>
          <w:color w:val="000000"/>
          <w:szCs w:val="21"/>
          <w:highlight w:val="none"/>
        </w:rPr>
      </w:pPr>
      <w:bookmarkStart w:id="531" w:name="_Toc50654866"/>
      <w:r>
        <w:rPr>
          <w:rFonts w:hint="eastAsia" w:ascii="宋体" w:hAnsi="宋体"/>
          <w:bCs/>
          <w:color w:val="000000"/>
          <w:szCs w:val="21"/>
          <w:highlight w:val="none"/>
        </w:rPr>
        <w:t>（五）起草评审报告并进行签署；</w:t>
      </w:r>
      <w:bookmarkEnd w:id="531"/>
    </w:p>
    <w:p>
      <w:pPr>
        <w:spacing w:line="360" w:lineRule="auto"/>
        <w:ind w:firstLine="411" w:firstLineChars="196"/>
        <w:outlineLvl w:val="1"/>
        <w:rPr>
          <w:rFonts w:ascii="宋体" w:hAnsi="宋体"/>
          <w:bCs/>
          <w:color w:val="000000"/>
          <w:szCs w:val="21"/>
          <w:highlight w:val="none"/>
        </w:rPr>
      </w:pPr>
      <w:bookmarkStart w:id="532" w:name="_Toc50654867"/>
      <w:r>
        <w:rPr>
          <w:rFonts w:hint="eastAsia" w:ascii="宋体" w:hAnsi="宋体"/>
          <w:bCs/>
          <w:color w:val="000000"/>
          <w:szCs w:val="21"/>
          <w:highlight w:val="none"/>
        </w:rPr>
        <w:t>（六）向采购人监督部门报告非法干预评审工作的行为；</w:t>
      </w:r>
      <w:bookmarkEnd w:id="532"/>
    </w:p>
    <w:p>
      <w:pPr>
        <w:spacing w:line="360" w:lineRule="auto"/>
        <w:ind w:firstLine="411" w:firstLineChars="196"/>
        <w:outlineLvl w:val="1"/>
        <w:rPr>
          <w:rFonts w:ascii="宋体" w:hAnsi="宋体"/>
          <w:bCs/>
          <w:color w:val="000000"/>
          <w:szCs w:val="21"/>
          <w:highlight w:val="none"/>
        </w:rPr>
      </w:pPr>
      <w:bookmarkStart w:id="533" w:name="_Toc50654868"/>
      <w:r>
        <w:rPr>
          <w:rFonts w:hint="eastAsia" w:ascii="宋体" w:hAnsi="宋体"/>
          <w:bCs/>
          <w:color w:val="000000"/>
          <w:szCs w:val="21"/>
          <w:highlight w:val="none"/>
        </w:rPr>
        <w:t>（七）法律、法规和规章规定的其他职责。</w:t>
      </w:r>
      <w:bookmarkEnd w:id="533"/>
    </w:p>
    <w:p>
      <w:pPr>
        <w:spacing w:line="360" w:lineRule="auto"/>
        <w:ind w:firstLine="413" w:firstLineChars="196"/>
        <w:outlineLvl w:val="1"/>
        <w:rPr>
          <w:rFonts w:ascii="宋体" w:hAnsi="宋体"/>
          <w:bCs/>
          <w:color w:val="000000"/>
          <w:szCs w:val="21"/>
          <w:highlight w:val="none"/>
        </w:rPr>
      </w:pPr>
      <w:bookmarkStart w:id="534" w:name="_Toc50654869"/>
      <w:r>
        <w:rPr>
          <w:rFonts w:hint="eastAsia" w:ascii="宋体" w:hAnsi="宋体"/>
          <w:b/>
          <w:bCs/>
          <w:color w:val="000000"/>
          <w:szCs w:val="21"/>
          <w:highlight w:val="none"/>
        </w:rPr>
        <w:t>1.5</w:t>
      </w:r>
      <w:r>
        <w:rPr>
          <w:rFonts w:hint="eastAsia" w:ascii="宋体" w:hAnsi="宋体"/>
          <w:bCs/>
          <w:color w:val="000000"/>
          <w:szCs w:val="21"/>
          <w:highlight w:val="none"/>
        </w:rPr>
        <w:t>谈判过程独立、保密。投标人非法干预谈判过程的，其响应文件作为无效处理。</w:t>
      </w:r>
      <w:bookmarkEnd w:id="534"/>
    </w:p>
    <w:p>
      <w:pPr>
        <w:adjustRightInd w:val="0"/>
        <w:snapToGrid w:val="0"/>
        <w:spacing w:line="360" w:lineRule="auto"/>
        <w:ind w:firstLine="422" w:firstLineChars="200"/>
        <w:rPr>
          <w:rFonts w:ascii="宋体" w:hAnsi="宋体"/>
          <w:bCs/>
          <w:color w:val="000000"/>
          <w:szCs w:val="21"/>
          <w:highlight w:val="none"/>
        </w:rPr>
      </w:pPr>
      <w:r>
        <w:rPr>
          <w:rFonts w:hint="eastAsia" w:ascii="宋体" w:hAnsi="宋体"/>
          <w:b/>
          <w:bCs/>
          <w:color w:val="000000"/>
          <w:szCs w:val="21"/>
          <w:highlight w:val="none"/>
        </w:rPr>
        <w:t>1.6</w:t>
      </w:r>
      <w:r>
        <w:rPr>
          <w:rFonts w:hint="eastAsia" w:ascii="宋体" w:hAnsi="宋体"/>
          <w:bCs/>
          <w:color w:val="000000"/>
          <w:szCs w:val="21"/>
          <w:highlight w:val="none"/>
        </w:rPr>
        <w:t>谈判小组评价响应文件，除谈判小组要求其澄清、说明或者纠正而提供的资料外，仅依据响应文件本身的内容，不寻求投标人提供其他外部证据。</w:t>
      </w:r>
    </w:p>
    <w:p>
      <w:pPr>
        <w:adjustRightInd w:val="0"/>
        <w:snapToGrid w:val="0"/>
        <w:spacing w:line="360" w:lineRule="auto"/>
        <w:ind w:firstLine="422" w:firstLineChars="200"/>
        <w:rPr>
          <w:rFonts w:ascii="宋体" w:hAnsi="宋体"/>
          <w:color w:val="000000"/>
          <w:szCs w:val="21"/>
          <w:highlight w:val="none"/>
        </w:rPr>
      </w:pPr>
      <w:r>
        <w:rPr>
          <w:rFonts w:ascii="宋体" w:hAnsi="宋体"/>
          <w:b/>
          <w:color w:val="000000"/>
          <w:szCs w:val="21"/>
          <w:highlight w:val="none"/>
        </w:rPr>
        <w:t>1.7</w:t>
      </w:r>
      <w:r>
        <w:rPr>
          <w:rFonts w:hint="eastAsia" w:ascii="宋体" w:hAnsi="宋体"/>
          <w:color w:val="000000"/>
          <w:szCs w:val="21"/>
          <w:highlight w:val="none"/>
        </w:rPr>
        <w:t>本项目采用经竞争性谈判后的合理最低报价法。</w:t>
      </w:r>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535" w:name="_Toc50654870"/>
      <w:r>
        <w:rPr>
          <w:rFonts w:ascii="宋体" w:hAnsi="宋体"/>
          <w:color w:val="000000"/>
          <w:sz w:val="21"/>
          <w:szCs w:val="21"/>
          <w:highlight w:val="none"/>
        </w:rPr>
        <w:t>2</w:t>
      </w:r>
      <w:r>
        <w:rPr>
          <w:rFonts w:hint="eastAsia" w:ascii="宋体" w:hAnsi="宋体"/>
          <w:color w:val="000000"/>
          <w:sz w:val="21"/>
          <w:szCs w:val="21"/>
          <w:highlight w:val="none"/>
        </w:rPr>
        <w:t>.评审程序</w:t>
      </w:r>
      <w:bookmarkEnd w:id="535"/>
    </w:p>
    <w:p>
      <w:pPr>
        <w:pStyle w:val="5"/>
        <w:adjustRightInd w:val="0"/>
        <w:snapToGrid w:val="0"/>
        <w:spacing w:before="0" w:after="0" w:line="360" w:lineRule="auto"/>
        <w:ind w:firstLine="422" w:firstLineChars="200"/>
        <w:rPr>
          <w:rFonts w:ascii="宋体" w:hAnsi="宋体"/>
          <w:color w:val="000000"/>
          <w:sz w:val="21"/>
          <w:szCs w:val="21"/>
          <w:highlight w:val="none"/>
        </w:rPr>
      </w:pPr>
      <w:bookmarkStart w:id="536" w:name="_Toc50654871"/>
      <w:r>
        <w:rPr>
          <w:rFonts w:hint="eastAsia" w:ascii="宋体" w:hAnsi="宋体"/>
          <w:color w:val="000000"/>
          <w:sz w:val="21"/>
          <w:szCs w:val="21"/>
          <w:highlight w:val="none"/>
        </w:rPr>
        <w:t>2.1资格审查</w:t>
      </w:r>
      <w:bookmarkEnd w:id="536"/>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谈判小组</w:t>
      </w:r>
      <w:r>
        <w:rPr>
          <w:rFonts w:ascii="宋体" w:hAnsi="宋体"/>
          <w:color w:val="000000"/>
          <w:szCs w:val="21"/>
          <w:highlight w:val="none"/>
        </w:rPr>
        <w:t>应先对投标人进行</w:t>
      </w:r>
      <w:r>
        <w:rPr>
          <w:rFonts w:hint="eastAsia" w:ascii="宋体" w:hAnsi="宋体"/>
          <w:color w:val="000000"/>
          <w:szCs w:val="21"/>
          <w:highlight w:val="none"/>
        </w:rPr>
        <w:t>资格性审查，</w:t>
      </w:r>
      <w:r>
        <w:rPr>
          <w:rFonts w:hint="eastAsia" w:ascii="宋体" w:hAnsi="宋体"/>
          <w:b/>
          <w:color w:val="000000"/>
          <w:szCs w:val="21"/>
          <w:highlight w:val="none"/>
        </w:rPr>
        <w:t>投标人应满足下列情况，否则在资格审查时将不予通过：</w:t>
      </w:r>
    </w:p>
    <w:p>
      <w:pPr>
        <w:adjustRightInd w:val="0"/>
        <w:snapToGrid w:val="0"/>
        <w:spacing w:line="360" w:lineRule="auto"/>
        <w:ind w:firstLine="420" w:firstLineChars="200"/>
        <w:rPr>
          <w:rFonts w:ascii="宋体" w:hAnsi="宋体"/>
          <w:bCs/>
          <w:color w:val="000000"/>
          <w:szCs w:val="21"/>
          <w:highlight w:val="none"/>
        </w:rPr>
      </w:pPr>
      <w:r>
        <w:rPr>
          <w:rFonts w:hint="eastAsia" w:ascii="宋体" w:hAnsi="宋体"/>
          <w:bCs/>
          <w:color w:val="000000"/>
          <w:szCs w:val="21"/>
          <w:highlight w:val="none"/>
        </w:rPr>
        <w:t>（1）具备“谈判公告”第3条的资格条件，</w:t>
      </w:r>
      <w:r>
        <w:rPr>
          <w:rFonts w:ascii="宋体" w:hAnsi="宋体"/>
          <w:bCs/>
          <w:color w:val="000000"/>
          <w:szCs w:val="21"/>
          <w:highlight w:val="none"/>
        </w:rPr>
        <w:t>并附“</w:t>
      </w:r>
      <w:r>
        <w:rPr>
          <w:rFonts w:hint="eastAsia" w:ascii="宋体" w:hAnsi="宋体"/>
          <w:bCs/>
          <w:color w:val="000000"/>
          <w:szCs w:val="21"/>
          <w:highlight w:val="none"/>
        </w:rPr>
        <w:t>第四章</w:t>
      </w:r>
      <w:r>
        <w:rPr>
          <w:rFonts w:ascii="宋体" w:hAnsi="宋体"/>
          <w:bCs/>
          <w:color w:val="000000"/>
          <w:szCs w:val="21"/>
          <w:highlight w:val="none"/>
        </w:rPr>
        <w:t>响应文件格式”</w:t>
      </w:r>
      <w:r>
        <w:rPr>
          <w:rFonts w:hint="eastAsia" w:ascii="宋体" w:hAnsi="宋体"/>
          <w:bCs/>
          <w:color w:val="000000"/>
          <w:szCs w:val="21"/>
          <w:highlight w:val="none"/>
        </w:rPr>
        <w:t>中要求的</w:t>
      </w:r>
      <w:r>
        <w:rPr>
          <w:rFonts w:ascii="宋体" w:hAnsi="宋体"/>
          <w:bCs/>
          <w:color w:val="000000"/>
          <w:szCs w:val="21"/>
          <w:highlight w:val="none"/>
        </w:rPr>
        <w:t>证明材料</w:t>
      </w:r>
      <w:r>
        <w:rPr>
          <w:rFonts w:hint="eastAsia" w:ascii="宋体" w:hAnsi="宋体"/>
          <w:bCs/>
          <w:color w:val="000000"/>
          <w:szCs w:val="21"/>
          <w:highlight w:val="none"/>
        </w:rPr>
        <w:t>。</w:t>
      </w:r>
    </w:p>
    <w:p>
      <w:pPr>
        <w:adjustRightInd w:val="0"/>
        <w:snapToGrid w:val="0"/>
        <w:spacing w:line="360" w:lineRule="auto"/>
        <w:ind w:firstLine="420" w:firstLineChars="200"/>
        <w:rPr>
          <w:rFonts w:ascii="宋体" w:hAnsi="宋体"/>
          <w:bCs/>
          <w:color w:val="000000"/>
          <w:szCs w:val="21"/>
          <w:highlight w:val="none"/>
        </w:rPr>
      </w:pPr>
      <w:r>
        <w:rPr>
          <w:rFonts w:hint="eastAsia" w:ascii="宋体" w:hAnsi="宋体"/>
          <w:bCs/>
          <w:color w:val="000000"/>
          <w:szCs w:val="21"/>
          <w:highlight w:val="none"/>
        </w:rPr>
        <w:t>（</w:t>
      </w:r>
      <w:r>
        <w:rPr>
          <w:rFonts w:ascii="宋体" w:hAnsi="宋体"/>
          <w:bCs/>
          <w:color w:val="000000"/>
          <w:szCs w:val="21"/>
          <w:highlight w:val="none"/>
        </w:rPr>
        <w:t>2</w:t>
      </w:r>
      <w:r>
        <w:rPr>
          <w:rFonts w:hint="eastAsia" w:ascii="宋体" w:hAnsi="宋体"/>
          <w:bCs/>
          <w:color w:val="000000"/>
          <w:szCs w:val="21"/>
          <w:highlight w:val="none"/>
        </w:rPr>
        <w:t>）投标人不存在</w:t>
      </w:r>
      <w:r>
        <w:rPr>
          <w:rFonts w:ascii="宋体" w:hAnsi="宋体"/>
          <w:bCs/>
          <w:color w:val="000000"/>
          <w:szCs w:val="21"/>
          <w:highlight w:val="none"/>
        </w:rPr>
        <w:t>本须知</w:t>
      </w:r>
      <w:r>
        <w:rPr>
          <w:rFonts w:hint="eastAsia" w:ascii="宋体" w:hAnsi="宋体"/>
          <w:bCs/>
          <w:color w:val="000000"/>
          <w:szCs w:val="21"/>
          <w:highlight w:val="none"/>
        </w:rPr>
        <w:t>正文</w:t>
      </w:r>
      <w:r>
        <w:rPr>
          <w:rFonts w:ascii="宋体" w:hAnsi="宋体"/>
          <w:bCs/>
          <w:color w:val="000000"/>
          <w:szCs w:val="21"/>
          <w:highlight w:val="none"/>
        </w:rPr>
        <w:t>第</w:t>
      </w:r>
      <w:r>
        <w:rPr>
          <w:rFonts w:hint="eastAsia" w:ascii="宋体" w:hAnsi="宋体"/>
          <w:bCs/>
          <w:color w:val="000000"/>
          <w:szCs w:val="21"/>
          <w:highlight w:val="none"/>
        </w:rPr>
        <w:t>3.2款的</w:t>
      </w:r>
      <w:r>
        <w:rPr>
          <w:rFonts w:ascii="宋体" w:hAnsi="宋体"/>
          <w:bCs/>
          <w:color w:val="000000"/>
          <w:szCs w:val="21"/>
          <w:highlight w:val="none"/>
        </w:rPr>
        <w:t>情形。</w:t>
      </w:r>
    </w:p>
    <w:p>
      <w:pPr>
        <w:adjustRightInd w:val="0"/>
        <w:snapToGrid w:val="0"/>
        <w:spacing w:line="360" w:lineRule="auto"/>
        <w:ind w:firstLine="422" w:firstLineChars="200"/>
        <w:rPr>
          <w:rFonts w:ascii="宋体" w:hAnsi="宋体"/>
          <w:b/>
          <w:bCs/>
          <w:color w:val="000000"/>
          <w:szCs w:val="21"/>
          <w:highlight w:val="none"/>
        </w:rPr>
      </w:pPr>
      <w:r>
        <w:rPr>
          <w:rFonts w:hint="eastAsia" w:ascii="宋体" w:hAnsi="宋体"/>
          <w:b/>
          <w:bCs/>
          <w:color w:val="000000"/>
          <w:szCs w:val="21"/>
          <w:highlight w:val="none"/>
        </w:rPr>
        <w:t>2.</w:t>
      </w:r>
      <w:r>
        <w:rPr>
          <w:rFonts w:ascii="宋体" w:hAnsi="宋体"/>
          <w:b/>
          <w:bCs/>
          <w:color w:val="000000"/>
          <w:szCs w:val="21"/>
          <w:highlight w:val="none"/>
        </w:rPr>
        <w:t>2</w:t>
      </w:r>
      <w:r>
        <w:rPr>
          <w:rFonts w:hint="eastAsia" w:ascii="宋体" w:hAnsi="宋体"/>
          <w:b/>
          <w:bCs/>
          <w:color w:val="000000"/>
          <w:szCs w:val="21"/>
          <w:highlight w:val="none"/>
        </w:rPr>
        <w:t>响应性审查</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谈判小组应依据下述内容，对符合资格的响应文件进行响应性审查，以确定参加谈判的</w:t>
      </w:r>
      <w:r>
        <w:rPr>
          <w:rFonts w:hint="eastAsia" w:ascii="宋体" w:hAnsi="宋体" w:cs="宋体"/>
          <w:b/>
          <w:szCs w:val="21"/>
          <w:highlight w:val="none"/>
        </w:rPr>
        <w:t>投标人</w:t>
      </w:r>
      <w:r>
        <w:rPr>
          <w:rFonts w:hint="eastAsia" w:ascii="宋体" w:hAnsi="宋体"/>
          <w:b/>
          <w:szCs w:val="21"/>
          <w:highlight w:val="none"/>
        </w:rPr>
        <w:t>名单。</w:t>
      </w:r>
    </w:p>
    <w:p>
      <w:pPr>
        <w:widowControl/>
        <w:adjustRightInd w:val="0"/>
        <w:snapToGrid w:val="0"/>
        <w:spacing w:line="360" w:lineRule="auto"/>
        <w:ind w:firstLine="40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1</w:t>
      </w:r>
      <w:r>
        <w:rPr>
          <w:rFonts w:hint="eastAsia" w:ascii="宋体" w:hAnsi="宋体" w:cs="宋体"/>
          <w:color w:val="000000"/>
          <w:kern w:val="0"/>
          <w:szCs w:val="21"/>
          <w:highlight w:val="none"/>
        </w:rPr>
        <w:t>）按照</w:t>
      </w:r>
      <w:r>
        <w:rPr>
          <w:rFonts w:ascii="宋体" w:hAnsi="宋体" w:cs="宋体"/>
          <w:color w:val="000000"/>
          <w:kern w:val="0"/>
          <w:szCs w:val="21"/>
          <w:highlight w:val="none"/>
        </w:rPr>
        <w:t>“</w:t>
      </w:r>
      <w:r>
        <w:rPr>
          <w:rFonts w:hint="eastAsia" w:ascii="宋体" w:hAnsi="宋体" w:cs="宋体"/>
          <w:color w:val="000000"/>
          <w:kern w:val="0"/>
          <w:szCs w:val="21"/>
          <w:highlight w:val="none"/>
        </w:rPr>
        <w:t>第四章</w:t>
      </w:r>
      <w:r>
        <w:rPr>
          <w:rFonts w:ascii="宋体" w:hAnsi="宋体" w:cs="宋体"/>
          <w:color w:val="000000"/>
          <w:kern w:val="0"/>
          <w:szCs w:val="21"/>
          <w:highlight w:val="none"/>
        </w:rPr>
        <w:t>响应文件格式”</w:t>
      </w:r>
      <w:r>
        <w:rPr>
          <w:rFonts w:hint="eastAsia" w:ascii="宋体" w:hAnsi="宋体" w:cs="宋体"/>
          <w:color w:val="000000"/>
          <w:kern w:val="0"/>
          <w:szCs w:val="21"/>
          <w:highlight w:val="none"/>
        </w:rPr>
        <w:t>的</w:t>
      </w:r>
      <w:r>
        <w:rPr>
          <w:rFonts w:ascii="宋体" w:hAnsi="宋体" w:cs="宋体"/>
          <w:color w:val="000000"/>
          <w:kern w:val="0"/>
          <w:szCs w:val="21"/>
          <w:highlight w:val="none"/>
        </w:rPr>
        <w:t>要求，响应文件</w:t>
      </w:r>
      <w:r>
        <w:rPr>
          <w:rFonts w:hint="eastAsia" w:ascii="宋体" w:hAnsi="宋体" w:cs="宋体"/>
          <w:color w:val="000000"/>
          <w:kern w:val="0"/>
          <w:szCs w:val="21"/>
          <w:highlight w:val="none"/>
        </w:rPr>
        <w:t>内容齐全，</w:t>
      </w:r>
      <w:r>
        <w:rPr>
          <w:rFonts w:ascii="宋体" w:hAnsi="宋体" w:cs="宋体"/>
          <w:color w:val="000000"/>
          <w:kern w:val="0"/>
          <w:szCs w:val="21"/>
          <w:highlight w:val="none"/>
        </w:rPr>
        <w:t>其中谈判函及报价清单投标人</w:t>
      </w:r>
      <w:r>
        <w:rPr>
          <w:rFonts w:hint="eastAsia" w:ascii="宋体" w:hAnsi="宋体" w:cs="宋体"/>
          <w:color w:val="000000"/>
          <w:kern w:val="0"/>
          <w:szCs w:val="21"/>
          <w:highlight w:val="none"/>
        </w:rPr>
        <w:t>进行了</w:t>
      </w:r>
      <w:r>
        <w:rPr>
          <w:rFonts w:ascii="宋体" w:hAnsi="宋体" w:cs="宋体"/>
          <w:color w:val="000000"/>
          <w:kern w:val="0"/>
          <w:szCs w:val="21"/>
          <w:highlight w:val="none"/>
        </w:rPr>
        <w:t>报价响应。</w:t>
      </w:r>
    </w:p>
    <w:p>
      <w:pPr>
        <w:widowControl/>
        <w:adjustRightInd w:val="0"/>
        <w:snapToGrid w:val="0"/>
        <w:spacing w:line="360" w:lineRule="auto"/>
        <w:ind w:firstLine="400"/>
        <w:rPr>
          <w:rFonts w:ascii="宋体" w:hAnsi="宋体" w:cs="宋体"/>
          <w:color w:val="000000"/>
          <w:kern w:val="0"/>
          <w:szCs w:val="21"/>
          <w:highlight w:val="none"/>
        </w:rPr>
      </w:pPr>
      <w:r>
        <w:rPr>
          <w:rFonts w:hint="eastAsia" w:ascii="宋体" w:hAnsi="宋体" w:cs="宋体"/>
          <w:color w:val="000000"/>
          <w:kern w:val="0"/>
          <w:szCs w:val="21"/>
          <w:highlight w:val="none"/>
        </w:rPr>
        <w:t>（2）响应文件签字盖章</w:t>
      </w:r>
      <w:r>
        <w:rPr>
          <w:rFonts w:ascii="宋体" w:hAnsi="宋体" w:cs="宋体"/>
          <w:color w:val="000000"/>
          <w:kern w:val="0"/>
          <w:szCs w:val="21"/>
          <w:highlight w:val="none"/>
        </w:rPr>
        <w:t>符合“</w:t>
      </w:r>
      <w:r>
        <w:rPr>
          <w:rFonts w:hint="eastAsia" w:ascii="宋体" w:hAnsi="宋体" w:cs="宋体"/>
          <w:color w:val="000000"/>
          <w:kern w:val="0"/>
          <w:szCs w:val="21"/>
          <w:highlight w:val="none"/>
        </w:rPr>
        <w:t>第四章</w:t>
      </w:r>
      <w:r>
        <w:rPr>
          <w:rFonts w:ascii="宋体" w:hAnsi="宋体" w:cs="宋体"/>
          <w:color w:val="000000"/>
          <w:kern w:val="0"/>
          <w:szCs w:val="21"/>
          <w:highlight w:val="none"/>
        </w:rPr>
        <w:t>响应文件格式”</w:t>
      </w:r>
      <w:r>
        <w:rPr>
          <w:rFonts w:hint="eastAsia" w:ascii="宋体" w:hAnsi="宋体" w:cs="宋体"/>
          <w:color w:val="000000"/>
          <w:kern w:val="0"/>
          <w:szCs w:val="21"/>
          <w:highlight w:val="none"/>
        </w:rPr>
        <w:t>中</w:t>
      </w:r>
      <w:r>
        <w:rPr>
          <w:rFonts w:ascii="宋体" w:hAnsi="宋体" w:cs="宋体"/>
          <w:color w:val="000000"/>
          <w:kern w:val="0"/>
          <w:szCs w:val="21"/>
          <w:highlight w:val="none"/>
        </w:rPr>
        <w:t>的要求</w:t>
      </w:r>
      <w:r>
        <w:rPr>
          <w:rFonts w:hint="eastAsia" w:ascii="宋体" w:hAnsi="宋体" w:cs="宋体"/>
          <w:color w:val="000000"/>
          <w:kern w:val="0"/>
          <w:szCs w:val="21"/>
          <w:highlight w:val="none"/>
        </w:rPr>
        <w:t>，且同时提交了响应文件的纸质版本</w:t>
      </w:r>
      <w:r>
        <w:rPr>
          <w:rFonts w:ascii="宋体" w:hAnsi="宋体" w:cs="宋体"/>
          <w:color w:val="000000"/>
          <w:kern w:val="0"/>
          <w:szCs w:val="21"/>
          <w:highlight w:val="none"/>
        </w:rPr>
        <w:t>和电子版本</w:t>
      </w:r>
      <w:r>
        <w:rPr>
          <w:rFonts w:hint="eastAsia" w:ascii="宋体" w:hAnsi="宋体" w:cs="宋体"/>
          <w:color w:val="000000"/>
          <w:kern w:val="0"/>
          <w:szCs w:val="21"/>
          <w:highlight w:val="none"/>
        </w:rPr>
        <w:t>。</w:t>
      </w:r>
    </w:p>
    <w:p>
      <w:pPr>
        <w:widowControl/>
        <w:adjustRightInd w:val="0"/>
        <w:snapToGrid w:val="0"/>
        <w:spacing w:line="360" w:lineRule="auto"/>
        <w:ind w:firstLine="40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3</w:t>
      </w:r>
      <w:r>
        <w:rPr>
          <w:rFonts w:hint="eastAsia" w:ascii="宋体" w:hAnsi="宋体" w:cs="宋体"/>
          <w:color w:val="000000"/>
          <w:kern w:val="0"/>
          <w:szCs w:val="21"/>
          <w:highlight w:val="none"/>
        </w:rPr>
        <w:t>）</w:t>
      </w:r>
      <w:r>
        <w:rPr>
          <w:rFonts w:hint="eastAsia" w:ascii="宋体" w:hAnsi="宋体"/>
          <w:bCs/>
          <w:szCs w:val="21"/>
          <w:highlight w:val="none"/>
        </w:rPr>
        <w:t>投标人响应文件由法定代表人的授权委托代理人签署的，需提交授权委托书；</w:t>
      </w:r>
      <w:r>
        <w:rPr>
          <w:rFonts w:hint="eastAsia" w:ascii="宋体" w:hAnsi="宋体"/>
          <w:szCs w:val="21"/>
          <w:highlight w:val="none"/>
        </w:rPr>
        <w:t>投标人响应文件由法定代表人亲自签署的，须提供法定代表人身份证明。且</w:t>
      </w:r>
      <w:r>
        <w:rPr>
          <w:rFonts w:ascii="宋体" w:hAnsi="宋体"/>
          <w:szCs w:val="21"/>
          <w:highlight w:val="none"/>
        </w:rPr>
        <w:t>授权委托书或</w:t>
      </w:r>
      <w:r>
        <w:rPr>
          <w:rFonts w:hint="eastAsia" w:ascii="宋体" w:hAnsi="宋体"/>
          <w:szCs w:val="21"/>
          <w:highlight w:val="none"/>
        </w:rPr>
        <w:t>法定</w:t>
      </w:r>
      <w:r>
        <w:rPr>
          <w:rFonts w:ascii="宋体" w:hAnsi="宋体"/>
          <w:szCs w:val="21"/>
          <w:highlight w:val="none"/>
        </w:rPr>
        <w:t>代表人</w:t>
      </w:r>
      <w:r>
        <w:rPr>
          <w:rFonts w:hint="eastAsia" w:ascii="宋体" w:hAnsi="宋体"/>
          <w:szCs w:val="21"/>
          <w:highlight w:val="none"/>
        </w:rPr>
        <w:t>身份证明</w:t>
      </w:r>
      <w:r>
        <w:rPr>
          <w:rFonts w:ascii="宋体" w:hAnsi="宋体"/>
          <w:szCs w:val="21"/>
          <w:highlight w:val="none"/>
        </w:rPr>
        <w:t>符合</w:t>
      </w:r>
      <w:r>
        <w:rPr>
          <w:rFonts w:ascii="宋体" w:hAnsi="宋体" w:cs="宋体"/>
          <w:color w:val="000000"/>
          <w:kern w:val="0"/>
          <w:szCs w:val="21"/>
          <w:highlight w:val="none"/>
        </w:rPr>
        <w:t>“</w:t>
      </w:r>
      <w:r>
        <w:rPr>
          <w:rFonts w:hint="eastAsia" w:ascii="宋体" w:hAnsi="宋体" w:cs="宋体"/>
          <w:color w:val="000000"/>
          <w:kern w:val="0"/>
          <w:szCs w:val="21"/>
          <w:highlight w:val="none"/>
        </w:rPr>
        <w:t>第四章</w:t>
      </w:r>
      <w:r>
        <w:rPr>
          <w:rFonts w:ascii="宋体" w:hAnsi="宋体" w:cs="宋体"/>
          <w:color w:val="000000"/>
          <w:kern w:val="0"/>
          <w:szCs w:val="21"/>
          <w:highlight w:val="none"/>
        </w:rPr>
        <w:t>响应文件格式”</w:t>
      </w:r>
      <w:r>
        <w:rPr>
          <w:rFonts w:hint="eastAsia" w:ascii="宋体" w:hAnsi="宋体" w:cs="宋体"/>
          <w:color w:val="000000"/>
          <w:kern w:val="0"/>
          <w:szCs w:val="21"/>
          <w:highlight w:val="none"/>
        </w:rPr>
        <w:t>中</w:t>
      </w:r>
      <w:r>
        <w:rPr>
          <w:rFonts w:ascii="宋体" w:hAnsi="宋体" w:cs="宋体"/>
          <w:color w:val="000000"/>
          <w:kern w:val="0"/>
          <w:szCs w:val="21"/>
          <w:highlight w:val="none"/>
        </w:rPr>
        <w:t>的要求</w:t>
      </w:r>
      <w:r>
        <w:rPr>
          <w:rFonts w:hint="eastAsia" w:ascii="宋体" w:hAnsi="宋体" w:cs="宋体"/>
          <w:color w:val="000000"/>
          <w:kern w:val="0"/>
          <w:szCs w:val="21"/>
          <w:highlight w:val="none"/>
        </w:rPr>
        <w:t>。</w:t>
      </w:r>
    </w:p>
    <w:p>
      <w:pPr>
        <w:widowControl/>
        <w:adjustRightInd w:val="0"/>
        <w:snapToGrid w:val="0"/>
        <w:spacing w:line="360" w:lineRule="auto"/>
        <w:ind w:firstLine="40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4</w:t>
      </w:r>
      <w:r>
        <w:rPr>
          <w:rFonts w:hint="eastAsia" w:ascii="宋体" w:hAnsi="宋体" w:cs="宋体"/>
          <w:color w:val="000000"/>
          <w:kern w:val="0"/>
          <w:szCs w:val="21"/>
          <w:highlight w:val="none"/>
        </w:rPr>
        <w:t>）提交了</w:t>
      </w:r>
      <w:r>
        <w:rPr>
          <w:rFonts w:ascii="宋体" w:hAnsi="宋体" w:cs="宋体"/>
          <w:color w:val="000000"/>
          <w:kern w:val="0"/>
          <w:szCs w:val="21"/>
          <w:highlight w:val="none"/>
        </w:rPr>
        <w:t>谈判保证金。</w:t>
      </w:r>
    </w:p>
    <w:p>
      <w:pPr>
        <w:widowControl/>
        <w:adjustRightInd w:val="0"/>
        <w:snapToGrid w:val="0"/>
        <w:spacing w:line="360" w:lineRule="auto"/>
        <w:ind w:firstLine="400"/>
        <w:rPr>
          <w:rFonts w:ascii="宋体" w:hAnsi="宋体" w:cs="宋体"/>
          <w:color w:val="000000"/>
          <w:kern w:val="0"/>
          <w:szCs w:val="21"/>
          <w:highlight w:val="none"/>
        </w:rPr>
      </w:pPr>
      <w:r>
        <w:rPr>
          <w:rFonts w:hint="eastAsia" w:ascii="宋体" w:hAnsi="宋体" w:cs="宋体"/>
          <w:color w:val="000000"/>
          <w:kern w:val="0"/>
          <w:szCs w:val="21"/>
          <w:highlight w:val="none"/>
        </w:rPr>
        <w:t>（5）投标人报价未超过最高投标限价。</w:t>
      </w:r>
    </w:p>
    <w:p>
      <w:pPr>
        <w:pStyle w:val="5"/>
        <w:adjustRightInd w:val="0"/>
        <w:snapToGrid w:val="0"/>
        <w:spacing w:before="0" w:after="0" w:line="360" w:lineRule="auto"/>
        <w:ind w:firstLine="422" w:firstLineChars="200"/>
        <w:rPr>
          <w:rFonts w:ascii="宋体" w:hAnsi="宋体" w:cs="宋体"/>
          <w:color w:val="000000"/>
          <w:szCs w:val="21"/>
          <w:highlight w:val="none"/>
        </w:rPr>
      </w:pPr>
      <w:bookmarkStart w:id="537" w:name="_Toc50654872"/>
      <w:r>
        <w:rPr>
          <w:rFonts w:hint="eastAsia" w:ascii="宋体" w:hAnsi="宋体"/>
          <w:color w:val="000000"/>
          <w:sz w:val="21"/>
          <w:szCs w:val="21"/>
          <w:highlight w:val="none"/>
        </w:rPr>
        <w:t>2</w:t>
      </w:r>
      <w:r>
        <w:rPr>
          <w:rFonts w:ascii="宋体" w:hAnsi="宋体"/>
          <w:color w:val="000000"/>
          <w:sz w:val="21"/>
          <w:szCs w:val="21"/>
          <w:highlight w:val="none"/>
        </w:rPr>
        <w:t>.3</w:t>
      </w:r>
      <w:r>
        <w:rPr>
          <w:rFonts w:hint="eastAsia" w:ascii="宋体" w:hAnsi="宋体"/>
          <w:color w:val="000000"/>
          <w:sz w:val="21"/>
          <w:szCs w:val="21"/>
          <w:highlight w:val="none"/>
        </w:rPr>
        <w:t>谈判</w:t>
      </w:r>
      <w:bookmarkEnd w:id="537"/>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（1）通过资格审查、响应</w:t>
      </w:r>
      <w:r>
        <w:rPr>
          <w:rFonts w:ascii="宋体" w:hAnsi="宋体"/>
          <w:color w:val="000000"/>
          <w:szCs w:val="21"/>
          <w:highlight w:val="none"/>
        </w:rPr>
        <w:t>性审查</w:t>
      </w:r>
      <w:r>
        <w:rPr>
          <w:rFonts w:hint="eastAsia" w:ascii="宋体" w:hAnsi="宋体"/>
          <w:color w:val="000000"/>
          <w:szCs w:val="21"/>
          <w:highlight w:val="none"/>
        </w:rPr>
        <w:t>的</w:t>
      </w:r>
      <w:r>
        <w:rPr>
          <w:rFonts w:hint="eastAsia" w:ascii="宋体" w:hAnsi="宋体" w:cs="宋体"/>
          <w:szCs w:val="21"/>
          <w:highlight w:val="none"/>
        </w:rPr>
        <w:t>投标人</w:t>
      </w:r>
      <w:r>
        <w:rPr>
          <w:rFonts w:ascii="宋体" w:hAnsi="宋体"/>
          <w:color w:val="000000"/>
          <w:szCs w:val="21"/>
          <w:highlight w:val="none"/>
        </w:rPr>
        <w:t>进入谈判阶段</w:t>
      </w:r>
      <w:r>
        <w:rPr>
          <w:rFonts w:hint="eastAsia" w:ascii="宋体" w:hAnsi="宋体"/>
          <w:color w:val="000000"/>
          <w:szCs w:val="21"/>
          <w:highlight w:val="none"/>
        </w:rPr>
        <w:t>，谈判方式为谈判小组所有成员集中与单一</w:t>
      </w:r>
      <w:r>
        <w:rPr>
          <w:rFonts w:hint="eastAsia" w:ascii="宋体" w:hAnsi="宋体" w:cs="宋体"/>
          <w:szCs w:val="21"/>
          <w:highlight w:val="none"/>
        </w:rPr>
        <w:t>投标人</w:t>
      </w:r>
      <w:r>
        <w:rPr>
          <w:rFonts w:hint="eastAsia" w:ascii="宋体" w:hAnsi="宋体"/>
          <w:color w:val="000000"/>
          <w:szCs w:val="21"/>
          <w:highlight w:val="none"/>
        </w:rPr>
        <w:t>分别进行一轮或多轮谈判，并给予所有参加谈判的</w:t>
      </w:r>
      <w:r>
        <w:rPr>
          <w:rFonts w:hint="eastAsia" w:ascii="宋体" w:hAnsi="宋体" w:cs="宋体"/>
          <w:szCs w:val="21"/>
          <w:highlight w:val="none"/>
        </w:rPr>
        <w:t>投标人</w:t>
      </w:r>
      <w:r>
        <w:rPr>
          <w:rFonts w:hint="eastAsia" w:ascii="宋体" w:hAnsi="宋体"/>
          <w:color w:val="000000"/>
          <w:szCs w:val="21"/>
          <w:highlight w:val="none"/>
        </w:rPr>
        <w:t>平等的谈判机会。谈判顺序以现场抽签的方式确定。谈判过程中，谈判小组可以根据谈判情况调整谈判轮次。</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（2）每轮谈判开始前，谈判小组应根据谈判文件的规定，并结合各</w:t>
      </w:r>
      <w:r>
        <w:rPr>
          <w:rFonts w:hint="eastAsia" w:ascii="宋体" w:hAnsi="宋体" w:cs="宋体"/>
          <w:szCs w:val="21"/>
          <w:highlight w:val="none"/>
        </w:rPr>
        <w:t>投标人</w:t>
      </w:r>
      <w:r>
        <w:rPr>
          <w:rFonts w:hint="eastAsia" w:ascii="宋体" w:hAnsi="宋体"/>
          <w:color w:val="000000"/>
          <w:szCs w:val="21"/>
          <w:highlight w:val="none"/>
        </w:rPr>
        <w:t>的响应文件拟定谈判内容。</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（3）在谈判过程中，谈判小组可以根据谈判文件和谈判情况实质性变动就谈判文件的报价、运输款支付方式进行谈判，但不得变动谈判文件中的其他内容。实质性变动的内容，须经采购人代表书面确认。</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（4）谈判过程中，谈判的任何一方不得透露与谈判有关的其他</w:t>
      </w:r>
      <w:r>
        <w:rPr>
          <w:rFonts w:hint="eastAsia" w:ascii="宋体" w:hAnsi="宋体" w:cs="宋体"/>
          <w:szCs w:val="21"/>
          <w:highlight w:val="none"/>
        </w:rPr>
        <w:t>投标人</w:t>
      </w:r>
      <w:r>
        <w:rPr>
          <w:rFonts w:hint="eastAsia" w:ascii="宋体" w:hAnsi="宋体"/>
          <w:color w:val="000000"/>
          <w:szCs w:val="21"/>
          <w:highlight w:val="none"/>
        </w:rPr>
        <w:t>的技术资料、价格和其他信息。</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（5）投标人的谈判代表须是具有合法资格的法人代表或授权代表(须出具授权委托书)。</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（6）谈判完成后，谈判小组应出具谈判情况记录表，谈判情况记录表需包含谈判内容、谈判意见、实质性变动内容等。</w:t>
      </w:r>
    </w:p>
    <w:p>
      <w:pPr>
        <w:adjustRightInd w:val="0"/>
        <w:snapToGrid w:val="0"/>
        <w:spacing w:line="360" w:lineRule="auto"/>
        <w:ind w:firstLine="422" w:firstLineChars="200"/>
        <w:rPr>
          <w:rFonts w:ascii="宋体" w:hAnsi="宋体"/>
          <w:b/>
          <w:color w:val="000000"/>
          <w:szCs w:val="21"/>
          <w:highlight w:val="none"/>
        </w:rPr>
      </w:pPr>
      <w:r>
        <w:rPr>
          <w:rFonts w:ascii="宋体" w:hAnsi="宋体"/>
          <w:b/>
          <w:color w:val="000000"/>
          <w:szCs w:val="21"/>
          <w:highlight w:val="none"/>
        </w:rPr>
        <w:t>2.4</w:t>
      </w:r>
      <w:r>
        <w:rPr>
          <w:rFonts w:hint="eastAsia" w:ascii="宋体" w:hAnsi="宋体"/>
          <w:b/>
          <w:color w:val="000000"/>
          <w:szCs w:val="21"/>
          <w:highlight w:val="none"/>
        </w:rPr>
        <w:t>最后报价</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（1）谈判结束后，谈判小组应当要求所有实质性响应的投标人在规定时间内提交最后报价，提交最后报价的投标人不得少于</w:t>
      </w:r>
      <w:r>
        <w:rPr>
          <w:rFonts w:ascii="宋体" w:hAnsi="宋体"/>
          <w:color w:val="000000"/>
          <w:szCs w:val="21"/>
          <w:highlight w:val="none"/>
        </w:rPr>
        <w:t>2</w:t>
      </w:r>
      <w:r>
        <w:rPr>
          <w:rFonts w:hint="eastAsia" w:ascii="宋体" w:hAnsi="宋体"/>
          <w:color w:val="000000"/>
          <w:szCs w:val="21"/>
          <w:highlight w:val="none"/>
        </w:rPr>
        <w:t>家。</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themeColor="text1"/>
          <w:szCs w:val="21"/>
          <w:highlight w:val="none"/>
          <w14:textFill>
            <w14:solidFill>
              <w14:schemeClr w14:val="tx1"/>
            </w14:solidFill>
          </w14:textFill>
        </w:rPr>
        <w:t>两轮以上（若有）报价的</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szCs w:val="21"/>
          <w:highlight w:val="none"/>
        </w:rPr>
        <w:t>最终报价若出现第一名报价与第二名报价相同的情况，则增加报价次数，</w:t>
      </w:r>
      <w:r>
        <w:rPr>
          <w:rFonts w:ascii="宋体" w:hAnsi="宋体"/>
          <w:color w:val="000000"/>
          <w:szCs w:val="21"/>
          <w:highlight w:val="none"/>
        </w:rPr>
        <w:t>且应</w:t>
      </w:r>
      <w:r>
        <w:rPr>
          <w:rFonts w:hint="eastAsia" w:ascii="宋体" w:hAnsi="宋体"/>
          <w:color w:val="000000"/>
          <w:szCs w:val="21"/>
          <w:highlight w:val="none"/>
        </w:rPr>
        <w:t>决出</w:t>
      </w:r>
      <w:r>
        <w:rPr>
          <w:rFonts w:ascii="宋体" w:hAnsi="宋体"/>
          <w:color w:val="000000"/>
          <w:szCs w:val="21"/>
          <w:highlight w:val="none"/>
        </w:rPr>
        <w:t>排序</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，投标人在未提高响应文件中承诺的</w:t>
      </w:r>
      <w:r>
        <w:rPr>
          <w:rFonts w:hint="eastAsia" w:ascii="宋体" w:hAnsi="宋体"/>
          <w:color w:val="000000" w:themeColor="text1"/>
          <w:szCs w:val="21"/>
          <w:highlight w:val="none"/>
          <w14:textFill>
            <w14:solidFill>
              <w14:schemeClr w14:val="tx1"/>
            </w14:solidFill>
          </w14:textFill>
        </w:rPr>
        <w:t>服务及其服务质量的情况下，其最后报价不得高于对该项目之前的报价，否则，谈判小组应当对其响应文件按无效处理，并书面告知</w:t>
      </w: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，说明理由。</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（3）投标人最后报价应当由法定代表人或其授权代表签字确认或加盖公章。最后报价是投标人响应文件的有效组成部分。</w:t>
      </w:r>
    </w:p>
    <w:p>
      <w:pPr>
        <w:widowControl/>
        <w:adjustRightInd w:val="0"/>
        <w:snapToGrid w:val="0"/>
        <w:spacing w:line="360" w:lineRule="auto"/>
        <w:ind w:firstLine="400"/>
        <w:rPr>
          <w:rFonts w:ascii="宋体" w:hAnsi="宋体"/>
          <w:b/>
          <w:color w:val="000000"/>
          <w:szCs w:val="21"/>
          <w:highlight w:val="none"/>
        </w:rPr>
      </w:pPr>
      <w:r>
        <w:rPr>
          <w:rFonts w:hint="eastAsia" w:ascii="宋体" w:hAnsi="宋体"/>
          <w:b/>
          <w:color w:val="000000"/>
          <w:szCs w:val="21"/>
          <w:highlight w:val="none"/>
        </w:rPr>
        <w:t>（4）谈判函中如果出现以下错误的，可按下述原则进行修正：</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A</w:t>
      </w:r>
      <w:r>
        <w:rPr>
          <w:rFonts w:ascii="宋体" w:hAnsi="宋体"/>
          <w:color w:val="000000"/>
          <w:szCs w:val="21"/>
          <w:highlight w:val="none"/>
        </w:rPr>
        <w:t>.</w:t>
      </w:r>
      <w:r>
        <w:rPr>
          <w:rFonts w:hint="eastAsia" w:ascii="宋体" w:hAnsi="宋体"/>
          <w:color w:val="000000"/>
          <w:szCs w:val="21"/>
          <w:highlight w:val="none"/>
        </w:rPr>
        <w:t>用数字表示的金额和用文字表示的金额不一致，应以文字表示的金额为准；</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按上述修正错误的方法调整的谈判报价应对投标人具有约束力。如果投标人不接受修正后的价格，其谈判将被拒绝。</w:t>
      </w:r>
    </w:p>
    <w:p>
      <w:pPr>
        <w:adjustRightInd w:val="0"/>
        <w:snapToGrid w:val="0"/>
        <w:spacing w:line="360" w:lineRule="auto"/>
        <w:ind w:firstLine="422" w:firstLineChars="200"/>
        <w:rPr>
          <w:rFonts w:ascii="宋体" w:hAnsi="宋体"/>
          <w:b/>
          <w:color w:val="000000"/>
          <w:szCs w:val="21"/>
          <w:highlight w:val="none"/>
        </w:rPr>
      </w:pPr>
      <w:r>
        <w:rPr>
          <w:rFonts w:hint="eastAsia" w:ascii="宋体" w:hAnsi="宋体"/>
          <w:b/>
          <w:color w:val="000000"/>
          <w:szCs w:val="21"/>
          <w:highlight w:val="none"/>
        </w:rPr>
        <w:t>2.</w:t>
      </w:r>
      <w:r>
        <w:rPr>
          <w:rFonts w:ascii="宋体" w:hAnsi="宋体"/>
          <w:b/>
          <w:color w:val="000000"/>
          <w:szCs w:val="21"/>
          <w:highlight w:val="none"/>
        </w:rPr>
        <w:t>5</w:t>
      </w:r>
      <w:r>
        <w:rPr>
          <w:rFonts w:hint="eastAsia" w:ascii="宋体" w:hAnsi="宋体"/>
          <w:b/>
          <w:color w:val="000000"/>
          <w:szCs w:val="21"/>
          <w:highlight w:val="none"/>
        </w:rPr>
        <w:t>推荐成交候选投标人</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（1）谈判小组根据本谈判评审办法选出成交候选投标人，并对所有符合竞争性谈判文件要求的投标人标明排列顺序。</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（2）根据谈判小组的谈判结果，推荐最终报价后价格最低的前一至三名为成交候选投标人(若出现第一名报价与第二名报价均相同的情况，则增加报价次数)。</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（3）谈判小组出具谈判报告。</w:t>
      </w:r>
    </w:p>
    <w:p>
      <w:pPr>
        <w:adjustRightInd w:val="0"/>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4</w:t>
      </w:r>
      <w:r>
        <w:rPr>
          <w:rFonts w:hint="eastAsia" w:ascii="宋体" w:hAnsi="宋体"/>
          <w:color w:val="000000"/>
          <w:szCs w:val="21"/>
          <w:highlight w:val="none"/>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adjustRightInd w:val="0"/>
        <w:snapToGrid w:val="0"/>
        <w:spacing w:line="360" w:lineRule="auto"/>
        <w:ind w:firstLine="422" w:firstLineChars="200"/>
        <w:rPr>
          <w:rFonts w:ascii="宋体" w:hAnsi="宋体"/>
          <w:b/>
          <w:color w:val="000000"/>
          <w:szCs w:val="21"/>
          <w:highlight w:val="none"/>
        </w:rPr>
      </w:pPr>
      <w:r>
        <w:rPr>
          <w:rFonts w:ascii="宋体" w:hAnsi="宋体"/>
          <w:b/>
          <w:color w:val="000000"/>
          <w:szCs w:val="21"/>
          <w:highlight w:val="none"/>
        </w:rPr>
        <w:t>2.6</w:t>
      </w:r>
      <w:r>
        <w:rPr>
          <w:rFonts w:hint="eastAsia" w:ascii="宋体" w:hAnsi="宋体"/>
          <w:b/>
          <w:color w:val="000000"/>
          <w:szCs w:val="21"/>
          <w:highlight w:val="none"/>
        </w:rPr>
        <w:t>投标人澄清、说明</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谈判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（2）谈判小组要求投标人澄清、说明或者更正响应文件应当以书面形式作出。投标人的澄清、说明或者更正应当由法定代表人或其授权代表签字或者加盖公章。</w:t>
      </w:r>
    </w:p>
    <w:p>
      <w:pPr>
        <w:adjustRightInd w:val="0"/>
        <w:snapToGrid w:val="0"/>
        <w:spacing w:line="360" w:lineRule="auto"/>
        <w:ind w:firstLine="422" w:firstLineChars="200"/>
        <w:rPr>
          <w:rFonts w:ascii="宋体" w:hAnsi="宋体"/>
          <w:b/>
          <w:color w:val="000000"/>
          <w:szCs w:val="21"/>
          <w:highlight w:val="none"/>
        </w:rPr>
      </w:pPr>
      <w:r>
        <w:rPr>
          <w:rFonts w:ascii="宋体" w:hAnsi="宋体"/>
          <w:b/>
          <w:color w:val="000000"/>
          <w:szCs w:val="21"/>
          <w:highlight w:val="none"/>
        </w:rPr>
        <w:t>3.</w:t>
      </w:r>
      <w:r>
        <w:rPr>
          <w:rFonts w:hint="eastAsia" w:ascii="宋体" w:hAnsi="宋体"/>
          <w:b/>
          <w:color w:val="000000"/>
          <w:szCs w:val="21"/>
          <w:highlight w:val="none"/>
        </w:rPr>
        <w:t>谈判结果公示</w:t>
      </w:r>
    </w:p>
    <w:p>
      <w:pPr>
        <w:adjustRightInd w:val="0"/>
        <w:snapToGrid w:val="0"/>
        <w:spacing w:line="360" w:lineRule="auto"/>
        <w:ind w:firstLine="840" w:firstLineChars="400"/>
        <w:rPr>
          <w:rFonts w:ascii="宋体" w:hAnsi="宋体"/>
          <w:b/>
          <w:color w:val="000000"/>
          <w:szCs w:val="21"/>
          <w:highlight w:val="none"/>
        </w:rPr>
      </w:pPr>
      <w:r>
        <w:rPr>
          <w:rFonts w:hint="eastAsia" w:ascii="宋体" w:hAnsi="宋体"/>
          <w:color w:val="000000"/>
          <w:szCs w:val="21"/>
          <w:highlight w:val="none"/>
        </w:rPr>
        <w:t>谈判结果公示要求见</w:t>
      </w:r>
      <w:r>
        <w:rPr>
          <w:rFonts w:ascii="宋体" w:hAnsi="宋体"/>
          <w:color w:val="000000"/>
          <w:szCs w:val="21"/>
          <w:highlight w:val="none"/>
        </w:rPr>
        <w:t>谈判须知前附表</w:t>
      </w:r>
      <w:r>
        <w:rPr>
          <w:rFonts w:hint="eastAsia" w:ascii="宋体" w:hAnsi="宋体"/>
          <w:color w:val="000000"/>
          <w:szCs w:val="21"/>
          <w:highlight w:val="none"/>
        </w:rPr>
        <w:t>。</w:t>
      </w:r>
    </w:p>
    <w:p>
      <w:pPr>
        <w:tabs>
          <w:tab w:val="left" w:pos="851"/>
        </w:tabs>
        <w:spacing w:line="360" w:lineRule="auto"/>
        <w:ind w:firstLine="422" w:firstLineChars="200"/>
        <w:rPr>
          <w:rFonts w:ascii="宋体" w:hAnsi="宋体"/>
          <w:b/>
          <w:color w:val="000000"/>
          <w:szCs w:val="21"/>
          <w:highlight w:val="none"/>
        </w:rPr>
      </w:pPr>
      <w:r>
        <w:rPr>
          <w:rFonts w:ascii="宋体" w:hAnsi="宋体"/>
          <w:b/>
          <w:color w:val="000000"/>
          <w:szCs w:val="21"/>
          <w:highlight w:val="none"/>
        </w:rPr>
        <w:t>4</w:t>
      </w:r>
      <w:r>
        <w:rPr>
          <w:rFonts w:hint="eastAsia" w:ascii="宋体" w:hAnsi="宋体"/>
          <w:b/>
          <w:color w:val="000000"/>
          <w:szCs w:val="21"/>
          <w:highlight w:val="none"/>
        </w:rPr>
        <w:t>．谈判纪律及注意事项</w:t>
      </w:r>
    </w:p>
    <w:p>
      <w:pPr>
        <w:tabs>
          <w:tab w:val="left" w:pos="851"/>
        </w:tabs>
        <w:spacing w:line="360" w:lineRule="auto"/>
        <w:ind w:firstLine="420" w:firstLineChars="200"/>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.1谈判小组内部讨论的情况和意见必须保密，任何人不得以任何形式透露给</w:t>
      </w:r>
      <w:r>
        <w:rPr>
          <w:rFonts w:hint="eastAsia" w:ascii="宋体" w:hAnsi="宋体" w:cs="宋体"/>
          <w:szCs w:val="21"/>
          <w:highlight w:val="none"/>
        </w:rPr>
        <w:t>投标人</w:t>
      </w:r>
      <w:r>
        <w:rPr>
          <w:rFonts w:hint="eastAsia" w:ascii="宋体" w:hAnsi="宋体"/>
          <w:color w:val="000000"/>
          <w:szCs w:val="21"/>
          <w:highlight w:val="none"/>
        </w:rPr>
        <w:t>或与</w:t>
      </w:r>
      <w:r>
        <w:rPr>
          <w:rFonts w:hint="eastAsia" w:ascii="宋体" w:hAnsi="宋体" w:cs="宋体"/>
          <w:szCs w:val="21"/>
          <w:highlight w:val="none"/>
        </w:rPr>
        <w:t>投标人</w:t>
      </w:r>
      <w:r>
        <w:rPr>
          <w:rFonts w:hint="eastAsia" w:ascii="宋体" w:hAnsi="宋体"/>
          <w:color w:val="000000"/>
          <w:szCs w:val="21"/>
          <w:highlight w:val="none"/>
        </w:rPr>
        <w:t>有关的单位或个人。</w:t>
      </w:r>
    </w:p>
    <w:p>
      <w:pPr>
        <w:tabs>
          <w:tab w:val="left" w:pos="851"/>
        </w:tabs>
        <w:spacing w:line="360" w:lineRule="auto"/>
        <w:ind w:firstLine="420" w:firstLineChars="200"/>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.2在谈判过程中，</w:t>
      </w:r>
      <w:r>
        <w:rPr>
          <w:rFonts w:hint="eastAsia" w:ascii="宋体" w:hAnsi="宋体" w:cs="宋体"/>
          <w:szCs w:val="21"/>
          <w:highlight w:val="none"/>
        </w:rPr>
        <w:t>投标人</w:t>
      </w:r>
      <w:r>
        <w:rPr>
          <w:rFonts w:hint="eastAsia" w:ascii="宋体" w:hAnsi="宋体"/>
          <w:color w:val="000000"/>
          <w:szCs w:val="21"/>
          <w:highlight w:val="none"/>
        </w:rPr>
        <w:t>不得以任何形式对谈判小组成员进行旨在影响谈判结果的私下接触，否则将取消其参与谈判的资格。</w:t>
      </w:r>
    </w:p>
    <w:p>
      <w:pPr>
        <w:tabs>
          <w:tab w:val="left" w:pos="851"/>
        </w:tabs>
        <w:spacing w:line="360" w:lineRule="auto"/>
        <w:ind w:firstLine="420" w:firstLineChars="200"/>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.3</w:t>
      </w:r>
      <w:r>
        <w:rPr>
          <w:rFonts w:hint="eastAsia"/>
          <w:szCs w:val="21"/>
          <w:highlight w:val="none"/>
        </w:rPr>
        <w:t>对各</w:t>
      </w:r>
      <w:r>
        <w:rPr>
          <w:rFonts w:hint="eastAsia" w:ascii="宋体" w:hAnsi="宋体" w:cs="宋体"/>
          <w:szCs w:val="21"/>
          <w:highlight w:val="none"/>
        </w:rPr>
        <w:t>投标人</w:t>
      </w:r>
      <w:r>
        <w:rPr>
          <w:rFonts w:hint="eastAsia"/>
          <w:szCs w:val="21"/>
          <w:highlight w:val="none"/>
        </w:rPr>
        <w:t>的商业秘密，谈判小组成员应予以保密，不得泄露给其他</w:t>
      </w:r>
      <w:r>
        <w:rPr>
          <w:rFonts w:hint="eastAsia" w:ascii="宋体" w:hAnsi="宋体" w:cs="宋体"/>
          <w:szCs w:val="21"/>
          <w:highlight w:val="none"/>
        </w:rPr>
        <w:t>投标人</w:t>
      </w:r>
      <w:r>
        <w:rPr>
          <w:rFonts w:hint="eastAsia"/>
          <w:szCs w:val="21"/>
          <w:highlight w:val="none"/>
        </w:rPr>
        <w:t>。</w:t>
      </w:r>
    </w:p>
    <w:p>
      <w:pPr>
        <w:tabs>
          <w:tab w:val="left" w:pos="851"/>
        </w:tabs>
        <w:spacing w:line="360" w:lineRule="auto"/>
        <w:ind w:firstLine="420" w:firstLineChars="200"/>
        <w:rPr>
          <w:color w:val="000000"/>
          <w:highlight w:val="none"/>
        </w:rPr>
      </w:pPr>
      <w:r>
        <w:rPr>
          <w:rFonts w:ascii="宋体" w:hAnsi="宋体"/>
          <w:color w:val="000000"/>
          <w:szCs w:val="21"/>
          <w:highlight w:val="none"/>
        </w:rPr>
        <w:t>4</w:t>
      </w:r>
      <w:r>
        <w:rPr>
          <w:rFonts w:hint="eastAsia" w:ascii="宋体" w:hAnsi="宋体"/>
          <w:color w:val="000000"/>
          <w:szCs w:val="21"/>
          <w:highlight w:val="none"/>
        </w:rPr>
        <w:t>.4谈判小组独立评判，推荐成交候选人，并写出书面报告。</w:t>
      </w:r>
    </w:p>
    <w:sectPr>
      <w:pgSz w:w="11906" w:h="16838"/>
      <w:pgMar w:top="1440" w:right="1440" w:bottom="1440" w:left="1800" w:header="629" w:footer="556"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mp;quot">
    <w:altName w:val="Cambria"/>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2413772"/>
    </w:sdtPr>
    <w:sdtContent>
      <w:p>
        <w:pPr>
          <w:pStyle w:val="26"/>
          <w:jc w:val="center"/>
        </w:pPr>
        <w:r>
          <w:fldChar w:fldCharType="begin"/>
        </w:r>
        <w:r>
          <w:instrText xml:space="preserve">PAGE   \* MERGEFORMAT</w:instrText>
        </w:r>
        <w:r>
          <w:fldChar w:fldCharType="separate"/>
        </w:r>
        <w:r>
          <w:rPr>
            <w:lang w:val="zh-CN"/>
          </w:rPr>
          <w:t>19</w:t>
        </w:r>
        <w:r>
          <w:fldChar w:fldCharType="end"/>
        </w:r>
      </w:p>
    </w:sdtContent>
  </w:sdt>
  <w:p>
    <w:pPr>
      <w:pStyle w:val="26"/>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8"/>
      </w:rPr>
    </w:pPr>
    <w:r>
      <w:fldChar w:fldCharType="begin"/>
    </w:r>
    <w:r>
      <w:rPr>
        <w:rStyle w:val="38"/>
      </w:rPr>
      <w:instrText xml:space="preserve">PAGE  </w:instrText>
    </w:r>
    <w: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31</w:t>
    </w:r>
    <w:r>
      <w:fldChar w:fldCharType="end"/>
    </w:r>
  </w:p>
  <w:p>
    <w:pPr>
      <w:pStyle w:val="26"/>
      <w:wordWrap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38"/>
      </w:rPr>
    </w:pPr>
    <w:r>
      <w:fldChar w:fldCharType="begin"/>
    </w:r>
    <w:r>
      <w:rPr>
        <w:rStyle w:val="38"/>
      </w:rPr>
      <w:instrText xml:space="preserve">PAGE  </w:instrText>
    </w:r>
    <w:r>
      <w:fldChar w:fldCharType="end"/>
    </w:r>
  </w:p>
  <w:p>
    <w:pPr>
      <w:pStyle w:val="2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E5068C"/>
    <w:multiLevelType w:val="singleLevel"/>
    <w:tmpl w:val="E0E5068C"/>
    <w:lvl w:ilvl="0" w:tentative="0">
      <w:start w:val="4"/>
      <w:numFmt w:val="decimal"/>
      <w:suff w:val="nothing"/>
      <w:lvlText w:val="（%1）"/>
      <w:lvlJc w:val="left"/>
    </w:lvl>
  </w:abstractNum>
  <w:abstractNum w:abstractNumId="1">
    <w:nsid w:val="17AB24A5"/>
    <w:multiLevelType w:val="singleLevel"/>
    <w:tmpl w:val="17AB24A5"/>
    <w:lvl w:ilvl="0" w:tentative="0">
      <w:start w:val="1"/>
      <w:numFmt w:val="decimal"/>
      <w:suff w:val="nothing"/>
      <w:lvlText w:val="%1．"/>
      <w:lvlJc w:val="left"/>
      <w:pPr>
        <w:ind w:left="0" w:firstLine="400"/>
      </w:pPr>
      <w:rPr>
        <w:rFonts w:hint="default"/>
      </w:rPr>
    </w:lvl>
  </w:abstractNum>
  <w:abstractNum w:abstractNumId="2">
    <w:nsid w:val="1D4A5419"/>
    <w:multiLevelType w:val="singleLevel"/>
    <w:tmpl w:val="1D4A5419"/>
    <w:lvl w:ilvl="0" w:tentative="0">
      <w:start w:val="1"/>
      <w:numFmt w:val="decimal"/>
      <w:suff w:val="nothing"/>
      <w:lvlText w:val="（%1）"/>
      <w:lvlJc w:val="left"/>
    </w:lvl>
  </w:abstractNum>
  <w:abstractNum w:abstractNumId="3">
    <w:nsid w:val="1FD564C5"/>
    <w:multiLevelType w:val="multilevel"/>
    <w:tmpl w:val="1FD564C5"/>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C877453"/>
    <w:multiLevelType w:val="singleLevel"/>
    <w:tmpl w:val="2C877453"/>
    <w:lvl w:ilvl="0" w:tentative="0">
      <w:start w:val="1"/>
      <w:numFmt w:val="decimal"/>
      <w:suff w:val="nothing"/>
      <w:lvlText w:val="%1．"/>
      <w:lvlJc w:val="left"/>
      <w:pPr>
        <w:ind w:left="0" w:firstLine="400"/>
      </w:pPr>
      <w:rPr>
        <w:rFonts w:hint="default"/>
      </w:rPr>
    </w:lvl>
  </w:abstractNum>
  <w:abstractNum w:abstractNumId="5">
    <w:nsid w:val="4A5F640B"/>
    <w:multiLevelType w:val="multilevel"/>
    <w:tmpl w:val="4A5F640B"/>
    <w:lvl w:ilvl="0" w:tentative="0">
      <w:start w:val="1"/>
      <w:numFmt w:val="decimal"/>
      <w:pStyle w:val="130"/>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A761E3C"/>
    <w:multiLevelType w:val="singleLevel"/>
    <w:tmpl w:val="5A761E3C"/>
    <w:lvl w:ilvl="0" w:tentative="0">
      <w:start w:val="1"/>
      <w:numFmt w:val="decimal"/>
      <w:suff w:val="nothing"/>
      <w:lvlText w:val="%1．"/>
      <w:lvlJc w:val="left"/>
      <w:pPr>
        <w:ind w:left="26" w:firstLine="4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mirrorMargin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EE"/>
    <w:rsid w:val="000045BB"/>
    <w:rsid w:val="00007346"/>
    <w:rsid w:val="00011779"/>
    <w:rsid w:val="00017313"/>
    <w:rsid w:val="00021186"/>
    <w:rsid w:val="00023EEE"/>
    <w:rsid w:val="00027362"/>
    <w:rsid w:val="00027808"/>
    <w:rsid w:val="00027B33"/>
    <w:rsid w:val="00030089"/>
    <w:rsid w:val="000312FC"/>
    <w:rsid w:val="00032A08"/>
    <w:rsid w:val="000350A7"/>
    <w:rsid w:val="000369AE"/>
    <w:rsid w:val="00036CFB"/>
    <w:rsid w:val="000415AF"/>
    <w:rsid w:val="0004187E"/>
    <w:rsid w:val="00044024"/>
    <w:rsid w:val="00045B46"/>
    <w:rsid w:val="000473C2"/>
    <w:rsid w:val="00050F9C"/>
    <w:rsid w:val="000534CC"/>
    <w:rsid w:val="00056120"/>
    <w:rsid w:val="000568FF"/>
    <w:rsid w:val="00062104"/>
    <w:rsid w:val="0007082A"/>
    <w:rsid w:val="00070CDB"/>
    <w:rsid w:val="00070E31"/>
    <w:rsid w:val="000716FF"/>
    <w:rsid w:val="00075B0A"/>
    <w:rsid w:val="00077280"/>
    <w:rsid w:val="00077C4B"/>
    <w:rsid w:val="00083410"/>
    <w:rsid w:val="00084E60"/>
    <w:rsid w:val="00085DE1"/>
    <w:rsid w:val="00087FC6"/>
    <w:rsid w:val="0009244E"/>
    <w:rsid w:val="00093F9A"/>
    <w:rsid w:val="000943F7"/>
    <w:rsid w:val="000A111C"/>
    <w:rsid w:val="000A2832"/>
    <w:rsid w:val="000A3D7C"/>
    <w:rsid w:val="000A498F"/>
    <w:rsid w:val="000A5746"/>
    <w:rsid w:val="000B0569"/>
    <w:rsid w:val="000B0F79"/>
    <w:rsid w:val="000B3060"/>
    <w:rsid w:val="000B4190"/>
    <w:rsid w:val="000B4801"/>
    <w:rsid w:val="000B505E"/>
    <w:rsid w:val="000B62BB"/>
    <w:rsid w:val="000C0EA1"/>
    <w:rsid w:val="000C1639"/>
    <w:rsid w:val="000C3CF0"/>
    <w:rsid w:val="000C4002"/>
    <w:rsid w:val="000C47F9"/>
    <w:rsid w:val="000C5834"/>
    <w:rsid w:val="000C6063"/>
    <w:rsid w:val="000C7086"/>
    <w:rsid w:val="000C7193"/>
    <w:rsid w:val="000D16B3"/>
    <w:rsid w:val="000D2AAD"/>
    <w:rsid w:val="000D3397"/>
    <w:rsid w:val="000D3D14"/>
    <w:rsid w:val="000D5E69"/>
    <w:rsid w:val="000D6D4B"/>
    <w:rsid w:val="000E6955"/>
    <w:rsid w:val="000F0CE0"/>
    <w:rsid w:val="000F4037"/>
    <w:rsid w:val="000F44C7"/>
    <w:rsid w:val="000F57AF"/>
    <w:rsid w:val="000F6D3C"/>
    <w:rsid w:val="000F747E"/>
    <w:rsid w:val="001017DE"/>
    <w:rsid w:val="00104B3B"/>
    <w:rsid w:val="001064E1"/>
    <w:rsid w:val="00107AAE"/>
    <w:rsid w:val="001103FD"/>
    <w:rsid w:val="00113768"/>
    <w:rsid w:val="001206EE"/>
    <w:rsid w:val="00120C54"/>
    <w:rsid w:val="001231A8"/>
    <w:rsid w:val="0012536A"/>
    <w:rsid w:val="0012679A"/>
    <w:rsid w:val="00126FA7"/>
    <w:rsid w:val="00132775"/>
    <w:rsid w:val="00135460"/>
    <w:rsid w:val="0014040C"/>
    <w:rsid w:val="0014457F"/>
    <w:rsid w:val="0014771F"/>
    <w:rsid w:val="0015222E"/>
    <w:rsid w:val="0015493A"/>
    <w:rsid w:val="001556E5"/>
    <w:rsid w:val="00156695"/>
    <w:rsid w:val="0016315C"/>
    <w:rsid w:val="00166DBF"/>
    <w:rsid w:val="00167342"/>
    <w:rsid w:val="00167EFD"/>
    <w:rsid w:val="00172D1F"/>
    <w:rsid w:val="00172F8B"/>
    <w:rsid w:val="001750D1"/>
    <w:rsid w:val="00175468"/>
    <w:rsid w:val="00176C88"/>
    <w:rsid w:val="001773A7"/>
    <w:rsid w:val="00180A9E"/>
    <w:rsid w:val="00185598"/>
    <w:rsid w:val="001904FC"/>
    <w:rsid w:val="00192333"/>
    <w:rsid w:val="0019533D"/>
    <w:rsid w:val="001972C8"/>
    <w:rsid w:val="001A21C9"/>
    <w:rsid w:val="001A321E"/>
    <w:rsid w:val="001A35E0"/>
    <w:rsid w:val="001A3F3B"/>
    <w:rsid w:val="001A4B3C"/>
    <w:rsid w:val="001A5C8C"/>
    <w:rsid w:val="001A653C"/>
    <w:rsid w:val="001B0C22"/>
    <w:rsid w:val="001B2C06"/>
    <w:rsid w:val="001B3233"/>
    <w:rsid w:val="001B32EA"/>
    <w:rsid w:val="001B3672"/>
    <w:rsid w:val="001B4C41"/>
    <w:rsid w:val="001C2ECE"/>
    <w:rsid w:val="001C32E1"/>
    <w:rsid w:val="001C46B5"/>
    <w:rsid w:val="001C7DA2"/>
    <w:rsid w:val="001D0F6E"/>
    <w:rsid w:val="001D13E0"/>
    <w:rsid w:val="001D277D"/>
    <w:rsid w:val="001D506B"/>
    <w:rsid w:val="001D726D"/>
    <w:rsid w:val="001D7379"/>
    <w:rsid w:val="001E1C25"/>
    <w:rsid w:val="001E1FCB"/>
    <w:rsid w:val="001F1D4D"/>
    <w:rsid w:val="001F2263"/>
    <w:rsid w:val="001F52CD"/>
    <w:rsid w:val="001F5710"/>
    <w:rsid w:val="001F7E19"/>
    <w:rsid w:val="00203C33"/>
    <w:rsid w:val="002043AB"/>
    <w:rsid w:val="00205036"/>
    <w:rsid w:val="0020509C"/>
    <w:rsid w:val="00205E6A"/>
    <w:rsid w:val="00212C09"/>
    <w:rsid w:val="0021395F"/>
    <w:rsid w:val="00213E9A"/>
    <w:rsid w:val="00216519"/>
    <w:rsid w:val="00224EB6"/>
    <w:rsid w:val="00225DCC"/>
    <w:rsid w:val="00231772"/>
    <w:rsid w:val="002401D2"/>
    <w:rsid w:val="002404A4"/>
    <w:rsid w:val="002412E9"/>
    <w:rsid w:val="00245B3B"/>
    <w:rsid w:val="0025179F"/>
    <w:rsid w:val="0025323B"/>
    <w:rsid w:val="00256C6B"/>
    <w:rsid w:val="00260096"/>
    <w:rsid w:val="00266F17"/>
    <w:rsid w:val="002678DE"/>
    <w:rsid w:val="002710F6"/>
    <w:rsid w:val="00271795"/>
    <w:rsid w:val="0027436E"/>
    <w:rsid w:val="00275A32"/>
    <w:rsid w:val="002765F9"/>
    <w:rsid w:val="0028263C"/>
    <w:rsid w:val="00282F14"/>
    <w:rsid w:val="00283AEE"/>
    <w:rsid w:val="00284F38"/>
    <w:rsid w:val="0028599C"/>
    <w:rsid w:val="00286C3D"/>
    <w:rsid w:val="002870E3"/>
    <w:rsid w:val="002875A5"/>
    <w:rsid w:val="002902A7"/>
    <w:rsid w:val="00292F94"/>
    <w:rsid w:val="00293456"/>
    <w:rsid w:val="002962D5"/>
    <w:rsid w:val="00297BEB"/>
    <w:rsid w:val="002A47D0"/>
    <w:rsid w:val="002A7663"/>
    <w:rsid w:val="002B0C5E"/>
    <w:rsid w:val="002B73D5"/>
    <w:rsid w:val="002C023C"/>
    <w:rsid w:val="002C02C7"/>
    <w:rsid w:val="002C3CCD"/>
    <w:rsid w:val="002C48F9"/>
    <w:rsid w:val="002D04AA"/>
    <w:rsid w:val="002D1482"/>
    <w:rsid w:val="002D276E"/>
    <w:rsid w:val="002D5634"/>
    <w:rsid w:val="002E5E12"/>
    <w:rsid w:val="002E6604"/>
    <w:rsid w:val="002F09EB"/>
    <w:rsid w:val="002F2826"/>
    <w:rsid w:val="002F3FF2"/>
    <w:rsid w:val="002F42B8"/>
    <w:rsid w:val="003033D5"/>
    <w:rsid w:val="00305F1D"/>
    <w:rsid w:val="00307EB1"/>
    <w:rsid w:val="0032352F"/>
    <w:rsid w:val="00324C77"/>
    <w:rsid w:val="00326567"/>
    <w:rsid w:val="003301D9"/>
    <w:rsid w:val="00336364"/>
    <w:rsid w:val="003416D7"/>
    <w:rsid w:val="003446B0"/>
    <w:rsid w:val="00344A4A"/>
    <w:rsid w:val="0034685A"/>
    <w:rsid w:val="00347666"/>
    <w:rsid w:val="003478D7"/>
    <w:rsid w:val="00350203"/>
    <w:rsid w:val="003525EE"/>
    <w:rsid w:val="00356493"/>
    <w:rsid w:val="00357ECD"/>
    <w:rsid w:val="00363732"/>
    <w:rsid w:val="0037013B"/>
    <w:rsid w:val="00371C45"/>
    <w:rsid w:val="00374EEE"/>
    <w:rsid w:val="00375DF7"/>
    <w:rsid w:val="00380B35"/>
    <w:rsid w:val="00386AFB"/>
    <w:rsid w:val="0039156D"/>
    <w:rsid w:val="00392D02"/>
    <w:rsid w:val="0039457B"/>
    <w:rsid w:val="003974DD"/>
    <w:rsid w:val="003A2756"/>
    <w:rsid w:val="003A3F81"/>
    <w:rsid w:val="003A464E"/>
    <w:rsid w:val="003A5450"/>
    <w:rsid w:val="003A56A5"/>
    <w:rsid w:val="003B7152"/>
    <w:rsid w:val="003B73A9"/>
    <w:rsid w:val="003C2452"/>
    <w:rsid w:val="003C2958"/>
    <w:rsid w:val="003C5364"/>
    <w:rsid w:val="003C588C"/>
    <w:rsid w:val="003D0722"/>
    <w:rsid w:val="003E34A9"/>
    <w:rsid w:val="003E3FA7"/>
    <w:rsid w:val="003F06E3"/>
    <w:rsid w:val="003F10F7"/>
    <w:rsid w:val="003F150F"/>
    <w:rsid w:val="003F174A"/>
    <w:rsid w:val="003F3864"/>
    <w:rsid w:val="003F3B99"/>
    <w:rsid w:val="003F3BFB"/>
    <w:rsid w:val="003F4016"/>
    <w:rsid w:val="003F5DF0"/>
    <w:rsid w:val="003F68C7"/>
    <w:rsid w:val="003F7298"/>
    <w:rsid w:val="003F7FB2"/>
    <w:rsid w:val="00400299"/>
    <w:rsid w:val="004059A8"/>
    <w:rsid w:val="004060F7"/>
    <w:rsid w:val="00407B69"/>
    <w:rsid w:val="0041053D"/>
    <w:rsid w:val="00410E3A"/>
    <w:rsid w:val="004119BF"/>
    <w:rsid w:val="0041325C"/>
    <w:rsid w:val="004142D8"/>
    <w:rsid w:val="00414C69"/>
    <w:rsid w:val="004173CC"/>
    <w:rsid w:val="004238CF"/>
    <w:rsid w:val="00427100"/>
    <w:rsid w:val="004274CC"/>
    <w:rsid w:val="00427605"/>
    <w:rsid w:val="004325F6"/>
    <w:rsid w:val="00434073"/>
    <w:rsid w:val="00436C76"/>
    <w:rsid w:val="00443DE1"/>
    <w:rsid w:val="00444DBE"/>
    <w:rsid w:val="00446B29"/>
    <w:rsid w:val="0044799E"/>
    <w:rsid w:val="004502B8"/>
    <w:rsid w:val="004514FF"/>
    <w:rsid w:val="00451C61"/>
    <w:rsid w:val="00457093"/>
    <w:rsid w:val="00461682"/>
    <w:rsid w:val="00462A09"/>
    <w:rsid w:val="00465209"/>
    <w:rsid w:val="00467AAF"/>
    <w:rsid w:val="00472C30"/>
    <w:rsid w:val="00474208"/>
    <w:rsid w:val="004862F4"/>
    <w:rsid w:val="00487F39"/>
    <w:rsid w:val="004908FD"/>
    <w:rsid w:val="00490F45"/>
    <w:rsid w:val="004939AA"/>
    <w:rsid w:val="00495B4C"/>
    <w:rsid w:val="0049770F"/>
    <w:rsid w:val="004A5374"/>
    <w:rsid w:val="004A5DBE"/>
    <w:rsid w:val="004A6A45"/>
    <w:rsid w:val="004A7370"/>
    <w:rsid w:val="004B5606"/>
    <w:rsid w:val="004B6FAA"/>
    <w:rsid w:val="004C2C16"/>
    <w:rsid w:val="004C5DBC"/>
    <w:rsid w:val="004D4E56"/>
    <w:rsid w:val="004D5B13"/>
    <w:rsid w:val="004D5B70"/>
    <w:rsid w:val="004E41B9"/>
    <w:rsid w:val="004E64F0"/>
    <w:rsid w:val="004E71FC"/>
    <w:rsid w:val="004E7ED1"/>
    <w:rsid w:val="004F02C4"/>
    <w:rsid w:val="004F1876"/>
    <w:rsid w:val="004F4E3C"/>
    <w:rsid w:val="004F6CBF"/>
    <w:rsid w:val="00502E0A"/>
    <w:rsid w:val="005034ED"/>
    <w:rsid w:val="0050512E"/>
    <w:rsid w:val="00505A8A"/>
    <w:rsid w:val="00506A2C"/>
    <w:rsid w:val="00517A45"/>
    <w:rsid w:val="005214E7"/>
    <w:rsid w:val="005254B3"/>
    <w:rsid w:val="00525F83"/>
    <w:rsid w:val="0052681E"/>
    <w:rsid w:val="00527FED"/>
    <w:rsid w:val="00530CBF"/>
    <w:rsid w:val="00533802"/>
    <w:rsid w:val="00534445"/>
    <w:rsid w:val="00534610"/>
    <w:rsid w:val="005358BA"/>
    <w:rsid w:val="00535DCC"/>
    <w:rsid w:val="005360ED"/>
    <w:rsid w:val="005366DE"/>
    <w:rsid w:val="005371F0"/>
    <w:rsid w:val="005374E2"/>
    <w:rsid w:val="00540798"/>
    <w:rsid w:val="005411D4"/>
    <w:rsid w:val="00541E60"/>
    <w:rsid w:val="005435F3"/>
    <w:rsid w:val="00543A36"/>
    <w:rsid w:val="0054449D"/>
    <w:rsid w:val="005449D5"/>
    <w:rsid w:val="00546258"/>
    <w:rsid w:val="005463D5"/>
    <w:rsid w:val="00554BA5"/>
    <w:rsid w:val="00557203"/>
    <w:rsid w:val="00561DC9"/>
    <w:rsid w:val="0056241A"/>
    <w:rsid w:val="005633E9"/>
    <w:rsid w:val="00565308"/>
    <w:rsid w:val="00567B2F"/>
    <w:rsid w:val="00573567"/>
    <w:rsid w:val="00577F81"/>
    <w:rsid w:val="005A4203"/>
    <w:rsid w:val="005A645E"/>
    <w:rsid w:val="005A77D6"/>
    <w:rsid w:val="005B0785"/>
    <w:rsid w:val="005B1D5B"/>
    <w:rsid w:val="005C0194"/>
    <w:rsid w:val="005C099D"/>
    <w:rsid w:val="005C2141"/>
    <w:rsid w:val="005C3196"/>
    <w:rsid w:val="005C4852"/>
    <w:rsid w:val="005D649F"/>
    <w:rsid w:val="005D77CF"/>
    <w:rsid w:val="005E3851"/>
    <w:rsid w:val="005E3F28"/>
    <w:rsid w:val="005E4765"/>
    <w:rsid w:val="005F596C"/>
    <w:rsid w:val="00604E58"/>
    <w:rsid w:val="006111F5"/>
    <w:rsid w:val="00612E51"/>
    <w:rsid w:val="00614891"/>
    <w:rsid w:val="006246B0"/>
    <w:rsid w:val="006316E4"/>
    <w:rsid w:val="006318B3"/>
    <w:rsid w:val="00633BEA"/>
    <w:rsid w:val="00636490"/>
    <w:rsid w:val="0063796F"/>
    <w:rsid w:val="00641B95"/>
    <w:rsid w:val="00643289"/>
    <w:rsid w:val="0064532F"/>
    <w:rsid w:val="00645CAD"/>
    <w:rsid w:val="00646031"/>
    <w:rsid w:val="0064756B"/>
    <w:rsid w:val="00650B5D"/>
    <w:rsid w:val="00650C7D"/>
    <w:rsid w:val="00651968"/>
    <w:rsid w:val="00651C98"/>
    <w:rsid w:val="00652161"/>
    <w:rsid w:val="00653259"/>
    <w:rsid w:val="00655D64"/>
    <w:rsid w:val="00657EB9"/>
    <w:rsid w:val="00662352"/>
    <w:rsid w:val="006627F7"/>
    <w:rsid w:val="0066567B"/>
    <w:rsid w:val="0066641F"/>
    <w:rsid w:val="00667E93"/>
    <w:rsid w:val="00673404"/>
    <w:rsid w:val="006745C6"/>
    <w:rsid w:val="00690974"/>
    <w:rsid w:val="00692C39"/>
    <w:rsid w:val="006939A3"/>
    <w:rsid w:val="006960C7"/>
    <w:rsid w:val="006A25D1"/>
    <w:rsid w:val="006A2CB5"/>
    <w:rsid w:val="006A6C42"/>
    <w:rsid w:val="006A6CC9"/>
    <w:rsid w:val="006B0D1A"/>
    <w:rsid w:val="006B19DB"/>
    <w:rsid w:val="006B1F31"/>
    <w:rsid w:val="006B2DFD"/>
    <w:rsid w:val="006C1EB8"/>
    <w:rsid w:val="006C20CB"/>
    <w:rsid w:val="006C610E"/>
    <w:rsid w:val="006D55BF"/>
    <w:rsid w:val="006D6D8C"/>
    <w:rsid w:val="006E0A2E"/>
    <w:rsid w:val="006E0FE5"/>
    <w:rsid w:val="006E24FA"/>
    <w:rsid w:val="006E25F0"/>
    <w:rsid w:val="006E4BF7"/>
    <w:rsid w:val="006E53A1"/>
    <w:rsid w:val="006E63B8"/>
    <w:rsid w:val="006E6F4B"/>
    <w:rsid w:val="006F2D48"/>
    <w:rsid w:val="006F2F6C"/>
    <w:rsid w:val="006F35B5"/>
    <w:rsid w:val="006F3BFF"/>
    <w:rsid w:val="006F45EE"/>
    <w:rsid w:val="006F521B"/>
    <w:rsid w:val="006F64AF"/>
    <w:rsid w:val="006F780C"/>
    <w:rsid w:val="007075BC"/>
    <w:rsid w:val="00712261"/>
    <w:rsid w:val="00712B0B"/>
    <w:rsid w:val="00716603"/>
    <w:rsid w:val="0071675D"/>
    <w:rsid w:val="00720436"/>
    <w:rsid w:val="007218D7"/>
    <w:rsid w:val="00722BD0"/>
    <w:rsid w:val="00725CB9"/>
    <w:rsid w:val="00734A60"/>
    <w:rsid w:val="00735BF9"/>
    <w:rsid w:val="007370D0"/>
    <w:rsid w:val="00744375"/>
    <w:rsid w:val="007447B7"/>
    <w:rsid w:val="007451D7"/>
    <w:rsid w:val="0074690F"/>
    <w:rsid w:val="00746F84"/>
    <w:rsid w:val="007470E9"/>
    <w:rsid w:val="00756993"/>
    <w:rsid w:val="0076059B"/>
    <w:rsid w:val="007614F1"/>
    <w:rsid w:val="00762CD4"/>
    <w:rsid w:val="007634AE"/>
    <w:rsid w:val="0077067C"/>
    <w:rsid w:val="00770B37"/>
    <w:rsid w:val="00771C5F"/>
    <w:rsid w:val="00774200"/>
    <w:rsid w:val="00774C79"/>
    <w:rsid w:val="007762AC"/>
    <w:rsid w:val="007803AA"/>
    <w:rsid w:val="0078290B"/>
    <w:rsid w:val="00782FAF"/>
    <w:rsid w:val="00783E9E"/>
    <w:rsid w:val="0078430C"/>
    <w:rsid w:val="007940DC"/>
    <w:rsid w:val="0079650C"/>
    <w:rsid w:val="007972DB"/>
    <w:rsid w:val="007A0328"/>
    <w:rsid w:val="007A0588"/>
    <w:rsid w:val="007A1374"/>
    <w:rsid w:val="007A3407"/>
    <w:rsid w:val="007A4A9E"/>
    <w:rsid w:val="007A7626"/>
    <w:rsid w:val="007A7B64"/>
    <w:rsid w:val="007B3CA1"/>
    <w:rsid w:val="007B5BCE"/>
    <w:rsid w:val="007B72E2"/>
    <w:rsid w:val="007C774C"/>
    <w:rsid w:val="007D240A"/>
    <w:rsid w:val="007D2D9C"/>
    <w:rsid w:val="007D2FBD"/>
    <w:rsid w:val="007D68AB"/>
    <w:rsid w:val="007D6B99"/>
    <w:rsid w:val="007D7DF6"/>
    <w:rsid w:val="007E0557"/>
    <w:rsid w:val="007E1CF4"/>
    <w:rsid w:val="007E2514"/>
    <w:rsid w:val="007E5565"/>
    <w:rsid w:val="007E68CA"/>
    <w:rsid w:val="007F70CA"/>
    <w:rsid w:val="0080298D"/>
    <w:rsid w:val="00803E9A"/>
    <w:rsid w:val="00804697"/>
    <w:rsid w:val="00805980"/>
    <w:rsid w:val="008072B7"/>
    <w:rsid w:val="00810E4A"/>
    <w:rsid w:val="0081113D"/>
    <w:rsid w:val="00813011"/>
    <w:rsid w:val="00817BA3"/>
    <w:rsid w:val="008217DC"/>
    <w:rsid w:val="00821F15"/>
    <w:rsid w:val="00822750"/>
    <w:rsid w:val="008238D4"/>
    <w:rsid w:val="008247DE"/>
    <w:rsid w:val="00830301"/>
    <w:rsid w:val="00830643"/>
    <w:rsid w:val="008310D9"/>
    <w:rsid w:val="00832002"/>
    <w:rsid w:val="00832FFA"/>
    <w:rsid w:val="008346F4"/>
    <w:rsid w:val="00842078"/>
    <w:rsid w:val="00844943"/>
    <w:rsid w:val="0084540D"/>
    <w:rsid w:val="00850F65"/>
    <w:rsid w:val="00854380"/>
    <w:rsid w:val="00854B2F"/>
    <w:rsid w:val="008574AC"/>
    <w:rsid w:val="0086076E"/>
    <w:rsid w:val="008623A1"/>
    <w:rsid w:val="00862AE6"/>
    <w:rsid w:val="008666EF"/>
    <w:rsid w:val="00867AEF"/>
    <w:rsid w:val="00874800"/>
    <w:rsid w:val="00877ADE"/>
    <w:rsid w:val="008804AD"/>
    <w:rsid w:val="00882199"/>
    <w:rsid w:val="008823D8"/>
    <w:rsid w:val="008824AD"/>
    <w:rsid w:val="00883A70"/>
    <w:rsid w:val="00884105"/>
    <w:rsid w:val="008842C1"/>
    <w:rsid w:val="00887F5E"/>
    <w:rsid w:val="00892D23"/>
    <w:rsid w:val="00893205"/>
    <w:rsid w:val="00893E3B"/>
    <w:rsid w:val="00893FC0"/>
    <w:rsid w:val="00894D66"/>
    <w:rsid w:val="008A1709"/>
    <w:rsid w:val="008A2D12"/>
    <w:rsid w:val="008A3170"/>
    <w:rsid w:val="008A4226"/>
    <w:rsid w:val="008A5158"/>
    <w:rsid w:val="008A6E21"/>
    <w:rsid w:val="008B0BA9"/>
    <w:rsid w:val="008B2883"/>
    <w:rsid w:val="008B3120"/>
    <w:rsid w:val="008B7AE9"/>
    <w:rsid w:val="008C1DC3"/>
    <w:rsid w:val="008C25FE"/>
    <w:rsid w:val="008C2ED1"/>
    <w:rsid w:val="008C5472"/>
    <w:rsid w:val="008D11A6"/>
    <w:rsid w:val="008D3106"/>
    <w:rsid w:val="008D3189"/>
    <w:rsid w:val="008D6AB6"/>
    <w:rsid w:val="008F36DA"/>
    <w:rsid w:val="008F5AB5"/>
    <w:rsid w:val="008F5CA8"/>
    <w:rsid w:val="00900505"/>
    <w:rsid w:val="0090329D"/>
    <w:rsid w:val="009043B7"/>
    <w:rsid w:val="00905319"/>
    <w:rsid w:val="00906ABE"/>
    <w:rsid w:val="009104F7"/>
    <w:rsid w:val="00910ECF"/>
    <w:rsid w:val="009174C6"/>
    <w:rsid w:val="00920EBB"/>
    <w:rsid w:val="00920EFE"/>
    <w:rsid w:val="00924634"/>
    <w:rsid w:val="0092606D"/>
    <w:rsid w:val="00931EF6"/>
    <w:rsid w:val="00936C6D"/>
    <w:rsid w:val="00941294"/>
    <w:rsid w:val="00941A36"/>
    <w:rsid w:val="00942EBE"/>
    <w:rsid w:val="00943027"/>
    <w:rsid w:val="009458A4"/>
    <w:rsid w:val="009476E3"/>
    <w:rsid w:val="009533DF"/>
    <w:rsid w:val="00956161"/>
    <w:rsid w:val="009630F3"/>
    <w:rsid w:val="009668A2"/>
    <w:rsid w:val="00970A79"/>
    <w:rsid w:val="009711ED"/>
    <w:rsid w:val="0097133B"/>
    <w:rsid w:val="00974CAD"/>
    <w:rsid w:val="00977220"/>
    <w:rsid w:val="00977274"/>
    <w:rsid w:val="009810F5"/>
    <w:rsid w:val="00982F75"/>
    <w:rsid w:val="0098571A"/>
    <w:rsid w:val="00986BB0"/>
    <w:rsid w:val="00991D5E"/>
    <w:rsid w:val="00992B7B"/>
    <w:rsid w:val="00994914"/>
    <w:rsid w:val="009A0AF2"/>
    <w:rsid w:val="009A5F9D"/>
    <w:rsid w:val="009A6D2A"/>
    <w:rsid w:val="009A7418"/>
    <w:rsid w:val="009A776D"/>
    <w:rsid w:val="009A7867"/>
    <w:rsid w:val="009B196C"/>
    <w:rsid w:val="009B3567"/>
    <w:rsid w:val="009B3684"/>
    <w:rsid w:val="009B3DD7"/>
    <w:rsid w:val="009B5430"/>
    <w:rsid w:val="009B76C5"/>
    <w:rsid w:val="009C04B8"/>
    <w:rsid w:val="009C313D"/>
    <w:rsid w:val="009C39E9"/>
    <w:rsid w:val="009C404E"/>
    <w:rsid w:val="009C497F"/>
    <w:rsid w:val="009C69A1"/>
    <w:rsid w:val="009C7FC0"/>
    <w:rsid w:val="009D2EF9"/>
    <w:rsid w:val="009E08A7"/>
    <w:rsid w:val="009E0E3F"/>
    <w:rsid w:val="009E20E1"/>
    <w:rsid w:val="009E4682"/>
    <w:rsid w:val="009E509A"/>
    <w:rsid w:val="009F56DE"/>
    <w:rsid w:val="00A00A4E"/>
    <w:rsid w:val="00A022A6"/>
    <w:rsid w:val="00A03289"/>
    <w:rsid w:val="00A0355E"/>
    <w:rsid w:val="00A03CA1"/>
    <w:rsid w:val="00A06D7F"/>
    <w:rsid w:val="00A12925"/>
    <w:rsid w:val="00A135C7"/>
    <w:rsid w:val="00A138A0"/>
    <w:rsid w:val="00A14499"/>
    <w:rsid w:val="00A14EA6"/>
    <w:rsid w:val="00A15E4F"/>
    <w:rsid w:val="00A1644D"/>
    <w:rsid w:val="00A17804"/>
    <w:rsid w:val="00A20785"/>
    <w:rsid w:val="00A25759"/>
    <w:rsid w:val="00A26F4A"/>
    <w:rsid w:val="00A324E7"/>
    <w:rsid w:val="00A337F6"/>
    <w:rsid w:val="00A3491F"/>
    <w:rsid w:val="00A44EF2"/>
    <w:rsid w:val="00A45D85"/>
    <w:rsid w:val="00A4608A"/>
    <w:rsid w:val="00A460DA"/>
    <w:rsid w:val="00A5245A"/>
    <w:rsid w:val="00A528B1"/>
    <w:rsid w:val="00A5300E"/>
    <w:rsid w:val="00A54DA3"/>
    <w:rsid w:val="00A5628D"/>
    <w:rsid w:val="00A56A10"/>
    <w:rsid w:val="00A56A34"/>
    <w:rsid w:val="00A57CE0"/>
    <w:rsid w:val="00A626A8"/>
    <w:rsid w:val="00A64ED0"/>
    <w:rsid w:val="00A7033C"/>
    <w:rsid w:val="00A715C6"/>
    <w:rsid w:val="00A725B6"/>
    <w:rsid w:val="00A73A18"/>
    <w:rsid w:val="00A75721"/>
    <w:rsid w:val="00A915CD"/>
    <w:rsid w:val="00A92217"/>
    <w:rsid w:val="00A93E65"/>
    <w:rsid w:val="00A962EC"/>
    <w:rsid w:val="00AA25CC"/>
    <w:rsid w:val="00AA5A98"/>
    <w:rsid w:val="00AA7575"/>
    <w:rsid w:val="00AB14EA"/>
    <w:rsid w:val="00AB1529"/>
    <w:rsid w:val="00AB2FEF"/>
    <w:rsid w:val="00AC544C"/>
    <w:rsid w:val="00AC63C4"/>
    <w:rsid w:val="00AC6DF6"/>
    <w:rsid w:val="00AC77E4"/>
    <w:rsid w:val="00AD3197"/>
    <w:rsid w:val="00AD7943"/>
    <w:rsid w:val="00AE02EF"/>
    <w:rsid w:val="00AE1136"/>
    <w:rsid w:val="00AE23F4"/>
    <w:rsid w:val="00AE68E8"/>
    <w:rsid w:val="00AF2285"/>
    <w:rsid w:val="00AF4019"/>
    <w:rsid w:val="00AF5911"/>
    <w:rsid w:val="00AF608B"/>
    <w:rsid w:val="00AF64A6"/>
    <w:rsid w:val="00B0112C"/>
    <w:rsid w:val="00B03FF8"/>
    <w:rsid w:val="00B050A9"/>
    <w:rsid w:val="00B10460"/>
    <w:rsid w:val="00B14756"/>
    <w:rsid w:val="00B21742"/>
    <w:rsid w:val="00B22A80"/>
    <w:rsid w:val="00B23079"/>
    <w:rsid w:val="00B23A06"/>
    <w:rsid w:val="00B23CB7"/>
    <w:rsid w:val="00B319B8"/>
    <w:rsid w:val="00B3343D"/>
    <w:rsid w:val="00B3361E"/>
    <w:rsid w:val="00B33788"/>
    <w:rsid w:val="00B3439E"/>
    <w:rsid w:val="00B35EB8"/>
    <w:rsid w:val="00B372FF"/>
    <w:rsid w:val="00B40547"/>
    <w:rsid w:val="00B41FB1"/>
    <w:rsid w:val="00B428B3"/>
    <w:rsid w:val="00B443F2"/>
    <w:rsid w:val="00B44A07"/>
    <w:rsid w:val="00B45C3D"/>
    <w:rsid w:val="00B46EB4"/>
    <w:rsid w:val="00B5416B"/>
    <w:rsid w:val="00B578AE"/>
    <w:rsid w:val="00B61CF2"/>
    <w:rsid w:val="00B62753"/>
    <w:rsid w:val="00B64449"/>
    <w:rsid w:val="00B72C77"/>
    <w:rsid w:val="00B758D9"/>
    <w:rsid w:val="00B769E2"/>
    <w:rsid w:val="00B80D69"/>
    <w:rsid w:val="00B82D72"/>
    <w:rsid w:val="00B85C82"/>
    <w:rsid w:val="00B867B8"/>
    <w:rsid w:val="00B92928"/>
    <w:rsid w:val="00B93DB6"/>
    <w:rsid w:val="00BA10BE"/>
    <w:rsid w:val="00BA2C2F"/>
    <w:rsid w:val="00BA3993"/>
    <w:rsid w:val="00BA5532"/>
    <w:rsid w:val="00BB2CFC"/>
    <w:rsid w:val="00BB548A"/>
    <w:rsid w:val="00BB68C0"/>
    <w:rsid w:val="00BC0733"/>
    <w:rsid w:val="00BC10DD"/>
    <w:rsid w:val="00BC15FA"/>
    <w:rsid w:val="00BC228F"/>
    <w:rsid w:val="00BC77B4"/>
    <w:rsid w:val="00BE3742"/>
    <w:rsid w:val="00BF0E6A"/>
    <w:rsid w:val="00BF34B9"/>
    <w:rsid w:val="00BF6036"/>
    <w:rsid w:val="00BF76F3"/>
    <w:rsid w:val="00C004F5"/>
    <w:rsid w:val="00C021AC"/>
    <w:rsid w:val="00C03692"/>
    <w:rsid w:val="00C03E09"/>
    <w:rsid w:val="00C04948"/>
    <w:rsid w:val="00C06F1F"/>
    <w:rsid w:val="00C11C86"/>
    <w:rsid w:val="00C138A6"/>
    <w:rsid w:val="00C146F3"/>
    <w:rsid w:val="00C20010"/>
    <w:rsid w:val="00C218F6"/>
    <w:rsid w:val="00C245E3"/>
    <w:rsid w:val="00C246F8"/>
    <w:rsid w:val="00C253E1"/>
    <w:rsid w:val="00C25D0C"/>
    <w:rsid w:val="00C267E6"/>
    <w:rsid w:val="00C26833"/>
    <w:rsid w:val="00C37A24"/>
    <w:rsid w:val="00C37A41"/>
    <w:rsid w:val="00C41442"/>
    <w:rsid w:val="00C4198B"/>
    <w:rsid w:val="00C45E6E"/>
    <w:rsid w:val="00C4664C"/>
    <w:rsid w:val="00C50DDF"/>
    <w:rsid w:val="00C55066"/>
    <w:rsid w:val="00C575AF"/>
    <w:rsid w:val="00C60DB9"/>
    <w:rsid w:val="00C61580"/>
    <w:rsid w:val="00C64D2B"/>
    <w:rsid w:val="00C657E1"/>
    <w:rsid w:val="00C71F70"/>
    <w:rsid w:val="00C72C01"/>
    <w:rsid w:val="00C73937"/>
    <w:rsid w:val="00C7530F"/>
    <w:rsid w:val="00C75370"/>
    <w:rsid w:val="00C801F9"/>
    <w:rsid w:val="00C82296"/>
    <w:rsid w:val="00C8335E"/>
    <w:rsid w:val="00C836B4"/>
    <w:rsid w:val="00C8424B"/>
    <w:rsid w:val="00C8679A"/>
    <w:rsid w:val="00C91A92"/>
    <w:rsid w:val="00C91DB8"/>
    <w:rsid w:val="00CA2F42"/>
    <w:rsid w:val="00CA6F12"/>
    <w:rsid w:val="00CB0A0A"/>
    <w:rsid w:val="00CC03B9"/>
    <w:rsid w:val="00CC0884"/>
    <w:rsid w:val="00CC0A79"/>
    <w:rsid w:val="00CC268A"/>
    <w:rsid w:val="00CD025D"/>
    <w:rsid w:val="00CD4896"/>
    <w:rsid w:val="00CD75F8"/>
    <w:rsid w:val="00CE0818"/>
    <w:rsid w:val="00CE7805"/>
    <w:rsid w:val="00CF4BA1"/>
    <w:rsid w:val="00CF655A"/>
    <w:rsid w:val="00CF7AC8"/>
    <w:rsid w:val="00D00790"/>
    <w:rsid w:val="00D00DA1"/>
    <w:rsid w:val="00D0271C"/>
    <w:rsid w:val="00D047B8"/>
    <w:rsid w:val="00D04B18"/>
    <w:rsid w:val="00D074BD"/>
    <w:rsid w:val="00D10680"/>
    <w:rsid w:val="00D11EDD"/>
    <w:rsid w:val="00D13A68"/>
    <w:rsid w:val="00D13E8A"/>
    <w:rsid w:val="00D144F9"/>
    <w:rsid w:val="00D14526"/>
    <w:rsid w:val="00D20DB9"/>
    <w:rsid w:val="00D231D6"/>
    <w:rsid w:val="00D30136"/>
    <w:rsid w:val="00D32DD7"/>
    <w:rsid w:val="00D34800"/>
    <w:rsid w:val="00D41788"/>
    <w:rsid w:val="00D41D91"/>
    <w:rsid w:val="00D43BB6"/>
    <w:rsid w:val="00D44C0D"/>
    <w:rsid w:val="00D479E6"/>
    <w:rsid w:val="00D51BB8"/>
    <w:rsid w:val="00D52CD1"/>
    <w:rsid w:val="00D61A49"/>
    <w:rsid w:val="00D6239E"/>
    <w:rsid w:val="00D6458A"/>
    <w:rsid w:val="00D658DE"/>
    <w:rsid w:val="00D66CD2"/>
    <w:rsid w:val="00D72596"/>
    <w:rsid w:val="00D72C9E"/>
    <w:rsid w:val="00D7504D"/>
    <w:rsid w:val="00D75770"/>
    <w:rsid w:val="00D8043C"/>
    <w:rsid w:val="00D85E5C"/>
    <w:rsid w:val="00D93637"/>
    <w:rsid w:val="00D939B7"/>
    <w:rsid w:val="00D958A2"/>
    <w:rsid w:val="00D97B6E"/>
    <w:rsid w:val="00DA0A23"/>
    <w:rsid w:val="00DA539C"/>
    <w:rsid w:val="00DA66A1"/>
    <w:rsid w:val="00DA745A"/>
    <w:rsid w:val="00DB2AFE"/>
    <w:rsid w:val="00DB44DE"/>
    <w:rsid w:val="00DB6265"/>
    <w:rsid w:val="00DB7C05"/>
    <w:rsid w:val="00DC0229"/>
    <w:rsid w:val="00DC4577"/>
    <w:rsid w:val="00DC7DA1"/>
    <w:rsid w:val="00DD19CA"/>
    <w:rsid w:val="00DD1D22"/>
    <w:rsid w:val="00DE25AE"/>
    <w:rsid w:val="00DE5322"/>
    <w:rsid w:val="00DE5B2E"/>
    <w:rsid w:val="00DE6A39"/>
    <w:rsid w:val="00DF0290"/>
    <w:rsid w:val="00DF563E"/>
    <w:rsid w:val="00DF57FD"/>
    <w:rsid w:val="00DF5F75"/>
    <w:rsid w:val="00DF670B"/>
    <w:rsid w:val="00E015AB"/>
    <w:rsid w:val="00E0393A"/>
    <w:rsid w:val="00E04403"/>
    <w:rsid w:val="00E121C2"/>
    <w:rsid w:val="00E12546"/>
    <w:rsid w:val="00E14939"/>
    <w:rsid w:val="00E165E8"/>
    <w:rsid w:val="00E20534"/>
    <w:rsid w:val="00E20D1F"/>
    <w:rsid w:val="00E24ACE"/>
    <w:rsid w:val="00E30A31"/>
    <w:rsid w:val="00E3532E"/>
    <w:rsid w:val="00E438A1"/>
    <w:rsid w:val="00E46361"/>
    <w:rsid w:val="00E5202C"/>
    <w:rsid w:val="00E61A9A"/>
    <w:rsid w:val="00E635AB"/>
    <w:rsid w:val="00E71323"/>
    <w:rsid w:val="00E7192F"/>
    <w:rsid w:val="00E7465F"/>
    <w:rsid w:val="00E7502C"/>
    <w:rsid w:val="00E7737E"/>
    <w:rsid w:val="00E80BB1"/>
    <w:rsid w:val="00E810DE"/>
    <w:rsid w:val="00E81DC7"/>
    <w:rsid w:val="00E8432E"/>
    <w:rsid w:val="00E84FEB"/>
    <w:rsid w:val="00E854BD"/>
    <w:rsid w:val="00E8796B"/>
    <w:rsid w:val="00E907C4"/>
    <w:rsid w:val="00E914D9"/>
    <w:rsid w:val="00E92A6A"/>
    <w:rsid w:val="00E936AE"/>
    <w:rsid w:val="00E97940"/>
    <w:rsid w:val="00EA19F3"/>
    <w:rsid w:val="00EA2900"/>
    <w:rsid w:val="00EA34B5"/>
    <w:rsid w:val="00EA351C"/>
    <w:rsid w:val="00EA4557"/>
    <w:rsid w:val="00EA6F16"/>
    <w:rsid w:val="00EB03B7"/>
    <w:rsid w:val="00EB665C"/>
    <w:rsid w:val="00EB7155"/>
    <w:rsid w:val="00EC1106"/>
    <w:rsid w:val="00EC162B"/>
    <w:rsid w:val="00ED271D"/>
    <w:rsid w:val="00ED6BD9"/>
    <w:rsid w:val="00ED6FD3"/>
    <w:rsid w:val="00EE0535"/>
    <w:rsid w:val="00EE09CC"/>
    <w:rsid w:val="00EE0E30"/>
    <w:rsid w:val="00EE2069"/>
    <w:rsid w:val="00EE4D4F"/>
    <w:rsid w:val="00EE6E35"/>
    <w:rsid w:val="00EF0C96"/>
    <w:rsid w:val="00EF3443"/>
    <w:rsid w:val="00EF3E0D"/>
    <w:rsid w:val="00EF760A"/>
    <w:rsid w:val="00F01510"/>
    <w:rsid w:val="00F02019"/>
    <w:rsid w:val="00F02EFB"/>
    <w:rsid w:val="00F03CFC"/>
    <w:rsid w:val="00F03FAC"/>
    <w:rsid w:val="00F050BB"/>
    <w:rsid w:val="00F05A9E"/>
    <w:rsid w:val="00F05CD1"/>
    <w:rsid w:val="00F0646B"/>
    <w:rsid w:val="00F14D6A"/>
    <w:rsid w:val="00F15D6E"/>
    <w:rsid w:val="00F23652"/>
    <w:rsid w:val="00F3061C"/>
    <w:rsid w:val="00F31117"/>
    <w:rsid w:val="00F33071"/>
    <w:rsid w:val="00F343DB"/>
    <w:rsid w:val="00F45177"/>
    <w:rsid w:val="00F51D6D"/>
    <w:rsid w:val="00F54737"/>
    <w:rsid w:val="00F562CB"/>
    <w:rsid w:val="00F61541"/>
    <w:rsid w:val="00F61857"/>
    <w:rsid w:val="00F639C7"/>
    <w:rsid w:val="00F66AE5"/>
    <w:rsid w:val="00F6755A"/>
    <w:rsid w:val="00F7279E"/>
    <w:rsid w:val="00F77B1C"/>
    <w:rsid w:val="00F81673"/>
    <w:rsid w:val="00F8198A"/>
    <w:rsid w:val="00F81B40"/>
    <w:rsid w:val="00F8438F"/>
    <w:rsid w:val="00F84BCE"/>
    <w:rsid w:val="00F85633"/>
    <w:rsid w:val="00F87DE0"/>
    <w:rsid w:val="00FA3470"/>
    <w:rsid w:val="00FB3CDE"/>
    <w:rsid w:val="00FB5BB9"/>
    <w:rsid w:val="00FB626A"/>
    <w:rsid w:val="00FB6E30"/>
    <w:rsid w:val="00FB7B29"/>
    <w:rsid w:val="00FC11C4"/>
    <w:rsid w:val="00FC1B3A"/>
    <w:rsid w:val="00FC5A5D"/>
    <w:rsid w:val="00FC61FC"/>
    <w:rsid w:val="00FD3932"/>
    <w:rsid w:val="00FD4D22"/>
    <w:rsid w:val="00FD6498"/>
    <w:rsid w:val="00FE00FC"/>
    <w:rsid w:val="00FE34E8"/>
    <w:rsid w:val="00FE4803"/>
    <w:rsid w:val="00FF23A3"/>
    <w:rsid w:val="00FF2DE8"/>
    <w:rsid w:val="00FF36E3"/>
    <w:rsid w:val="00FF71AA"/>
    <w:rsid w:val="0180725C"/>
    <w:rsid w:val="01846111"/>
    <w:rsid w:val="053F33DF"/>
    <w:rsid w:val="0CC65B69"/>
    <w:rsid w:val="17495A78"/>
    <w:rsid w:val="17B601F0"/>
    <w:rsid w:val="185418AE"/>
    <w:rsid w:val="19467098"/>
    <w:rsid w:val="20147669"/>
    <w:rsid w:val="220D79DE"/>
    <w:rsid w:val="2A6E4A62"/>
    <w:rsid w:val="2ACA0FE6"/>
    <w:rsid w:val="339B05D6"/>
    <w:rsid w:val="3E1448C4"/>
    <w:rsid w:val="3E321BA0"/>
    <w:rsid w:val="3F1E1FDA"/>
    <w:rsid w:val="40841B02"/>
    <w:rsid w:val="4748157F"/>
    <w:rsid w:val="4A2C3145"/>
    <w:rsid w:val="4A953B34"/>
    <w:rsid w:val="4E6B4F9A"/>
    <w:rsid w:val="55BA1B80"/>
    <w:rsid w:val="59040985"/>
    <w:rsid w:val="5BFA0A91"/>
    <w:rsid w:val="5D1A2FA4"/>
    <w:rsid w:val="5D945523"/>
    <w:rsid w:val="60A55C67"/>
    <w:rsid w:val="638049BF"/>
    <w:rsid w:val="67A6706E"/>
    <w:rsid w:val="68B13E94"/>
    <w:rsid w:val="6AE371A2"/>
    <w:rsid w:val="711B10B7"/>
    <w:rsid w:val="729F727F"/>
    <w:rsid w:val="74CB09FE"/>
    <w:rsid w:val="75A063EB"/>
    <w:rsid w:val="77DF2BF0"/>
    <w:rsid w:val="7985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1"/>
    <w:qFormat/>
    <w:uiPriority w:val="0"/>
    <w:pPr>
      <w:keepNext/>
      <w:keepLines/>
      <w:spacing w:before="340" w:after="330" w:line="576" w:lineRule="auto"/>
      <w:outlineLvl w:val="0"/>
    </w:pPr>
    <w:rPr>
      <w:b/>
      <w:kern w:val="44"/>
      <w:sz w:val="32"/>
    </w:rPr>
  </w:style>
  <w:style w:type="paragraph" w:styleId="3">
    <w:name w:val="heading 2"/>
    <w:basedOn w:val="1"/>
    <w:next w:val="4"/>
    <w:link w:val="73"/>
    <w:qFormat/>
    <w:uiPriority w:val="0"/>
    <w:pPr>
      <w:keepNext/>
      <w:keepLines/>
      <w:spacing w:before="260" w:after="260" w:line="500" w:lineRule="exact"/>
      <w:outlineLvl w:val="1"/>
    </w:pPr>
    <w:rPr>
      <w:rFonts w:ascii="Arial" w:hAnsi="Arial" w:eastAsia="黑体"/>
      <w:b/>
      <w:kern w:val="0"/>
      <w:sz w:val="28"/>
    </w:rPr>
  </w:style>
  <w:style w:type="paragraph" w:styleId="5">
    <w:name w:val="heading 3"/>
    <w:basedOn w:val="1"/>
    <w:next w:val="4"/>
    <w:link w:val="95"/>
    <w:qFormat/>
    <w:uiPriority w:val="0"/>
    <w:pPr>
      <w:keepNext/>
      <w:keepLines/>
      <w:spacing w:before="260" w:after="260" w:line="413" w:lineRule="auto"/>
      <w:outlineLvl w:val="2"/>
    </w:pPr>
    <w:rPr>
      <w:b/>
      <w:kern w:val="0"/>
      <w:sz w:val="32"/>
    </w:rPr>
  </w:style>
  <w:style w:type="paragraph" w:styleId="6">
    <w:name w:val="heading 4"/>
    <w:basedOn w:val="1"/>
    <w:next w:val="1"/>
    <w:link w:val="44"/>
    <w:qFormat/>
    <w:uiPriority w:val="0"/>
    <w:pPr>
      <w:keepNext/>
      <w:keepLines/>
      <w:spacing w:before="280" w:after="290" w:line="372" w:lineRule="auto"/>
      <w:outlineLvl w:val="3"/>
    </w:pPr>
    <w:rPr>
      <w:rFonts w:ascii="Arial" w:hAnsi="Arial" w:eastAsia="黑体"/>
      <w:b/>
      <w:kern w:val="0"/>
      <w:sz w:val="28"/>
    </w:rPr>
  </w:style>
  <w:style w:type="paragraph" w:styleId="7">
    <w:name w:val="heading 5"/>
    <w:basedOn w:val="1"/>
    <w:next w:val="4"/>
    <w:link w:val="72"/>
    <w:qFormat/>
    <w:uiPriority w:val="0"/>
    <w:pPr>
      <w:keepNext/>
      <w:keepLines/>
      <w:spacing w:before="280" w:after="290" w:line="372" w:lineRule="auto"/>
      <w:outlineLvl w:val="4"/>
    </w:pPr>
    <w:rPr>
      <w:b/>
      <w:kern w:val="0"/>
      <w:sz w:val="28"/>
    </w:rPr>
  </w:style>
  <w:style w:type="paragraph" w:styleId="8">
    <w:name w:val="heading 6"/>
    <w:basedOn w:val="1"/>
    <w:next w:val="4"/>
    <w:link w:val="88"/>
    <w:qFormat/>
    <w:uiPriority w:val="0"/>
    <w:pPr>
      <w:keepNext/>
      <w:keepLines/>
      <w:spacing w:before="240" w:after="64" w:line="317" w:lineRule="auto"/>
      <w:outlineLvl w:val="5"/>
    </w:pPr>
    <w:rPr>
      <w:rFonts w:ascii="Arial" w:hAnsi="Arial" w:eastAsia="黑体"/>
      <w:b/>
      <w:kern w:val="0"/>
      <w:sz w:val="24"/>
    </w:rPr>
  </w:style>
  <w:style w:type="paragraph" w:styleId="9">
    <w:name w:val="heading 7"/>
    <w:basedOn w:val="1"/>
    <w:next w:val="4"/>
    <w:link w:val="46"/>
    <w:qFormat/>
    <w:uiPriority w:val="0"/>
    <w:pPr>
      <w:keepNext/>
      <w:keepLines/>
      <w:spacing w:before="240" w:after="64" w:line="317" w:lineRule="auto"/>
      <w:outlineLvl w:val="6"/>
    </w:pPr>
    <w:rPr>
      <w:b/>
      <w:kern w:val="0"/>
      <w:sz w:val="24"/>
    </w:rPr>
  </w:style>
  <w:style w:type="paragraph" w:styleId="10">
    <w:name w:val="heading 8"/>
    <w:basedOn w:val="1"/>
    <w:next w:val="4"/>
    <w:link w:val="87"/>
    <w:qFormat/>
    <w:uiPriority w:val="0"/>
    <w:pPr>
      <w:keepNext/>
      <w:keepLines/>
      <w:spacing w:before="240" w:after="64" w:line="317" w:lineRule="auto"/>
      <w:outlineLvl w:val="7"/>
    </w:pPr>
    <w:rPr>
      <w:rFonts w:ascii="Arial" w:hAnsi="Arial" w:eastAsia="黑体"/>
      <w:kern w:val="0"/>
      <w:sz w:val="24"/>
    </w:rPr>
  </w:style>
  <w:style w:type="paragraph" w:styleId="11">
    <w:name w:val="heading 9"/>
    <w:basedOn w:val="1"/>
    <w:next w:val="4"/>
    <w:link w:val="65"/>
    <w:qFormat/>
    <w:uiPriority w:val="0"/>
    <w:pPr>
      <w:keepNext/>
      <w:keepLines/>
      <w:spacing w:before="240" w:after="64" w:line="317" w:lineRule="auto"/>
      <w:outlineLvl w:val="8"/>
    </w:pPr>
    <w:rPr>
      <w:rFonts w:ascii="Arial" w:hAnsi="Arial" w:eastAsia="黑体"/>
      <w:kern w:val="0"/>
      <w:sz w:val="20"/>
    </w:rPr>
  </w:style>
  <w:style w:type="character" w:default="1" w:styleId="36">
    <w:name w:val="Default Paragraph Font"/>
    <w:unhideWhenUsed/>
    <w:uiPriority w:val="1"/>
  </w:style>
  <w:style w:type="table" w:default="1" w:styleId="42">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link w:val="47"/>
    <w:qFormat/>
    <w:uiPriority w:val="0"/>
    <w:pPr>
      <w:ind w:firstLine="420"/>
    </w:pPr>
    <w:rPr>
      <w:kern w:val="0"/>
      <w:sz w:val="20"/>
    </w:rPr>
  </w:style>
  <w:style w:type="paragraph" w:styleId="12">
    <w:name w:val="annotation subject"/>
    <w:basedOn w:val="13"/>
    <w:next w:val="13"/>
    <w:link w:val="50"/>
    <w:qFormat/>
    <w:uiPriority w:val="0"/>
    <w:rPr>
      <w:b/>
      <w:bCs/>
    </w:rPr>
  </w:style>
  <w:style w:type="paragraph" w:styleId="13">
    <w:name w:val="annotation text"/>
    <w:basedOn w:val="1"/>
    <w:link w:val="89"/>
    <w:unhideWhenUsed/>
    <w:qFormat/>
    <w:uiPriority w:val="99"/>
    <w:pPr>
      <w:jc w:val="left"/>
    </w:pPr>
    <w:rPr>
      <w:kern w:val="0"/>
      <w:sz w:val="20"/>
    </w:rPr>
  </w:style>
  <w:style w:type="paragraph" w:styleId="14">
    <w:name w:val="Body Text First Indent"/>
    <w:basedOn w:val="15"/>
    <w:link w:val="57"/>
    <w:qFormat/>
    <w:uiPriority w:val="0"/>
    <w:pPr>
      <w:ind w:firstLine="420" w:firstLineChars="100"/>
    </w:pPr>
  </w:style>
  <w:style w:type="paragraph" w:styleId="15">
    <w:name w:val="Body Text"/>
    <w:basedOn w:val="1"/>
    <w:link w:val="58"/>
    <w:qFormat/>
    <w:uiPriority w:val="0"/>
    <w:pPr>
      <w:spacing w:after="120"/>
    </w:pPr>
    <w:rPr>
      <w:kern w:val="0"/>
      <w:sz w:val="20"/>
    </w:rPr>
  </w:style>
  <w:style w:type="paragraph" w:styleId="16">
    <w:name w:val="Document Map"/>
    <w:basedOn w:val="1"/>
    <w:link w:val="79"/>
    <w:qFormat/>
    <w:uiPriority w:val="0"/>
    <w:pPr>
      <w:shd w:val="clear" w:color="auto" w:fill="000080"/>
    </w:pPr>
    <w:rPr>
      <w:kern w:val="0"/>
      <w:sz w:val="20"/>
    </w:rPr>
  </w:style>
  <w:style w:type="paragraph" w:styleId="17">
    <w:name w:val="Body Text 3"/>
    <w:basedOn w:val="1"/>
    <w:link w:val="56"/>
    <w:qFormat/>
    <w:uiPriority w:val="0"/>
    <w:pPr>
      <w:spacing w:line="500" w:lineRule="exact"/>
    </w:pPr>
    <w:rPr>
      <w:b/>
      <w:kern w:val="0"/>
      <w:sz w:val="24"/>
    </w:rPr>
  </w:style>
  <w:style w:type="paragraph" w:styleId="18">
    <w:name w:val="Body Text Indent"/>
    <w:basedOn w:val="1"/>
    <w:link w:val="78"/>
    <w:qFormat/>
    <w:uiPriority w:val="0"/>
    <w:pPr>
      <w:ind w:firstLine="630"/>
    </w:pPr>
    <w:rPr>
      <w:kern w:val="0"/>
      <w:sz w:val="32"/>
    </w:rPr>
  </w:style>
  <w:style w:type="paragraph" w:styleId="19">
    <w:name w:val="Block Text"/>
    <w:basedOn w:val="1"/>
    <w:qFormat/>
    <w:uiPriority w:val="0"/>
    <w:pPr>
      <w:spacing w:line="400" w:lineRule="exact"/>
      <w:ind w:left="-359" w:leftChars="-171" w:right="-327" w:rightChars="-327" w:firstLine="720"/>
    </w:pPr>
    <w:rPr>
      <w:rFonts w:ascii="宋体" w:hAnsi="宋体"/>
      <w:sz w:val="28"/>
    </w:rPr>
  </w:style>
  <w:style w:type="paragraph" w:styleId="20">
    <w:name w:val="toc 3"/>
    <w:basedOn w:val="1"/>
    <w:next w:val="1"/>
    <w:qFormat/>
    <w:uiPriority w:val="39"/>
    <w:pPr>
      <w:ind w:left="840" w:leftChars="400"/>
    </w:pPr>
  </w:style>
  <w:style w:type="paragraph" w:styleId="21">
    <w:name w:val="Plain Text"/>
    <w:basedOn w:val="1"/>
    <w:link w:val="51"/>
    <w:qFormat/>
    <w:uiPriority w:val="0"/>
    <w:rPr>
      <w:rFonts w:ascii="宋体" w:hAnsi="Courier New"/>
      <w:kern w:val="0"/>
      <w:sz w:val="20"/>
    </w:rPr>
  </w:style>
  <w:style w:type="paragraph" w:styleId="22">
    <w:name w:val="Date"/>
    <w:basedOn w:val="1"/>
    <w:next w:val="1"/>
    <w:link w:val="67"/>
    <w:qFormat/>
    <w:uiPriority w:val="0"/>
    <w:rPr>
      <w:rFonts w:eastAsia="黑体"/>
      <w:kern w:val="0"/>
      <w:sz w:val="36"/>
    </w:rPr>
  </w:style>
  <w:style w:type="paragraph" w:styleId="23">
    <w:name w:val="Body Text Indent 2"/>
    <w:basedOn w:val="1"/>
    <w:link w:val="52"/>
    <w:qFormat/>
    <w:uiPriority w:val="0"/>
    <w:pPr>
      <w:ind w:firstLine="630"/>
    </w:pPr>
    <w:rPr>
      <w:kern w:val="0"/>
      <w:sz w:val="32"/>
    </w:rPr>
  </w:style>
  <w:style w:type="paragraph" w:styleId="24">
    <w:name w:val="endnote text"/>
    <w:basedOn w:val="1"/>
    <w:link w:val="62"/>
    <w:unhideWhenUsed/>
    <w:qFormat/>
    <w:uiPriority w:val="99"/>
    <w:pPr>
      <w:snapToGrid w:val="0"/>
      <w:jc w:val="left"/>
    </w:pPr>
  </w:style>
  <w:style w:type="paragraph" w:styleId="25">
    <w:name w:val="Balloon Text"/>
    <w:basedOn w:val="1"/>
    <w:link w:val="49"/>
    <w:qFormat/>
    <w:uiPriority w:val="0"/>
    <w:rPr>
      <w:kern w:val="0"/>
      <w:sz w:val="18"/>
      <w:szCs w:val="18"/>
    </w:rPr>
  </w:style>
  <w:style w:type="paragraph" w:styleId="26">
    <w:name w:val="footer"/>
    <w:basedOn w:val="1"/>
    <w:link w:val="77"/>
    <w:unhideWhenUsed/>
    <w:qFormat/>
    <w:uiPriority w:val="99"/>
    <w:pPr>
      <w:tabs>
        <w:tab w:val="center" w:pos="4153"/>
        <w:tab w:val="right" w:pos="8306"/>
      </w:tabs>
      <w:snapToGrid w:val="0"/>
      <w:jc w:val="left"/>
    </w:pPr>
    <w:rPr>
      <w:kern w:val="0"/>
      <w:sz w:val="18"/>
      <w:szCs w:val="18"/>
    </w:rPr>
  </w:style>
  <w:style w:type="paragraph" w:styleId="27">
    <w:name w:val="Body Text First Indent 2"/>
    <w:basedOn w:val="1"/>
    <w:link w:val="55"/>
    <w:unhideWhenUsed/>
    <w:qFormat/>
    <w:uiPriority w:val="0"/>
    <w:pPr>
      <w:spacing w:after="120"/>
      <w:ind w:left="420" w:leftChars="200" w:firstLine="420" w:firstLineChars="200"/>
    </w:pPr>
  </w:style>
  <w:style w:type="paragraph" w:styleId="28">
    <w:name w:val="header"/>
    <w:basedOn w:val="1"/>
    <w:link w:val="6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pPr>
      <w:tabs>
        <w:tab w:val="right" w:leader="dot" w:pos="8398"/>
      </w:tabs>
      <w:spacing w:before="120" w:after="120"/>
      <w:ind w:firstLine="240" w:firstLineChars="100"/>
      <w:jc w:val="left"/>
    </w:pPr>
    <w:rPr>
      <w:rFonts w:ascii="宋体" w:hAnsi="宋体"/>
      <w:b/>
      <w:caps/>
      <w:sz w:val="24"/>
    </w:rPr>
  </w:style>
  <w:style w:type="paragraph" w:styleId="30">
    <w:name w:val="Body Text Indent 3"/>
    <w:basedOn w:val="1"/>
    <w:link w:val="82"/>
    <w:qFormat/>
    <w:uiPriority w:val="0"/>
    <w:pPr>
      <w:adjustRightInd w:val="0"/>
      <w:snapToGrid w:val="0"/>
      <w:spacing w:line="360" w:lineRule="auto"/>
      <w:ind w:firstLine="600" w:firstLineChars="200"/>
    </w:pPr>
    <w:rPr>
      <w:rFonts w:ascii="黑体" w:eastAsia="黑体"/>
      <w:kern w:val="0"/>
      <w:sz w:val="30"/>
    </w:rPr>
  </w:style>
  <w:style w:type="paragraph" w:styleId="31">
    <w:name w:val="toc 2"/>
    <w:basedOn w:val="1"/>
    <w:next w:val="1"/>
    <w:qFormat/>
    <w:uiPriority w:val="39"/>
    <w:pPr>
      <w:ind w:left="420" w:leftChars="200"/>
    </w:pPr>
  </w:style>
  <w:style w:type="paragraph" w:styleId="32">
    <w:name w:val="Body Text 2"/>
    <w:basedOn w:val="1"/>
    <w:link w:val="80"/>
    <w:qFormat/>
    <w:uiPriority w:val="0"/>
    <w:pPr>
      <w:spacing w:after="120" w:line="480" w:lineRule="auto"/>
    </w:pPr>
    <w:rPr>
      <w:kern w:val="0"/>
      <w:sz w:val="20"/>
    </w:rPr>
  </w:style>
  <w:style w:type="paragraph" w:styleId="33">
    <w:name w:val="Normal (Web)"/>
    <w:basedOn w:val="1"/>
    <w:qFormat/>
    <w:uiPriority w:val="99"/>
    <w:pPr>
      <w:widowControl/>
      <w:spacing w:before="100" w:beforeAutospacing="1" w:after="100" w:afterAutospacing="1"/>
      <w:jc w:val="left"/>
    </w:pPr>
    <w:rPr>
      <w:rFonts w:ascii="宋体" w:hAnsi="宋体"/>
      <w:kern w:val="0"/>
      <w:sz w:val="18"/>
    </w:rPr>
  </w:style>
  <w:style w:type="paragraph" w:styleId="34">
    <w:name w:val="index 1"/>
    <w:basedOn w:val="1"/>
    <w:next w:val="1"/>
    <w:qFormat/>
    <w:uiPriority w:val="0"/>
    <w:pPr>
      <w:spacing w:line="320" w:lineRule="exact"/>
      <w:jc w:val="center"/>
    </w:pPr>
    <w:rPr>
      <w:rFonts w:eastAsia="仿宋_GB2312"/>
      <w:b/>
    </w:rPr>
  </w:style>
  <w:style w:type="paragraph" w:styleId="35">
    <w:name w:val="Title"/>
    <w:basedOn w:val="1"/>
    <w:next w:val="1"/>
    <w:link w:val="76"/>
    <w:qFormat/>
    <w:uiPriority w:val="10"/>
    <w:pPr>
      <w:spacing w:before="240" w:after="60"/>
      <w:jc w:val="center"/>
      <w:outlineLvl w:val="0"/>
    </w:pPr>
    <w:rPr>
      <w:rFonts w:ascii="Cambria" w:hAnsi="Cambria"/>
      <w:b/>
      <w:bCs/>
      <w:sz w:val="32"/>
      <w:szCs w:val="32"/>
    </w:rPr>
  </w:style>
  <w:style w:type="character" w:styleId="37">
    <w:name w:val="Strong"/>
    <w:qFormat/>
    <w:uiPriority w:val="0"/>
    <w:rPr>
      <w:b/>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Hyperlink"/>
    <w:qFormat/>
    <w:uiPriority w:val="99"/>
    <w:rPr>
      <w:color w:val="0000FF"/>
      <w:u w:val="single"/>
    </w:rPr>
  </w:style>
  <w:style w:type="character" w:styleId="41">
    <w:name w:val="annotation reference"/>
    <w:qFormat/>
    <w:uiPriority w:val="0"/>
    <w:rPr>
      <w:sz w:val="21"/>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标题 4 Char"/>
    <w:link w:val="6"/>
    <w:qFormat/>
    <w:uiPriority w:val="0"/>
    <w:rPr>
      <w:rFonts w:ascii="Arial" w:hAnsi="Arial" w:eastAsia="黑体" w:cs="Times New Roman"/>
      <w:b/>
      <w:sz w:val="28"/>
      <w:szCs w:val="20"/>
    </w:rPr>
  </w:style>
  <w:style w:type="character" w:customStyle="1" w:styleId="45">
    <w:name w:val="标题 Char1"/>
    <w:qFormat/>
    <w:uiPriority w:val="10"/>
    <w:rPr>
      <w:rFonts w:ascii="Cambria" w:hAnsi="Cambria" w:cs="Times New Roman"/>
      <w:b/>
      <w:bCs/>
      <w:kern w:val="2"/>
      <w:sz w:val="32"/>
      <w:szCs w:val="32"/>
    </w:rPr>
  </w:style>
  <w:style w:type="character" w:customStyle="1" w:styleId="46">
    <w:name w:val="标题 7 Char"/>
    <w:link w:val="9"/>
    <w:qFormat/>
    <w:uiPriority w:val="0"/>
    <w:rPr>
      <w:rFonts w:ascii="Times New Roman" w:hAnsi="Times New Roman" w:eastAsia="宋体" w:cs="Times New Roman"/>
      <w:b/>
      <w:sz w:val="24"/>
      <w:szCs w:val="20"/>
    </w:rPr>
  </w:style>
  <w:style w:type="character" w:customStyle="1" w:styleId="47">
    <w:name w:val="正文缩进 Char"/>
    <w:link w:val="4"/>
    <w:qFormat/>
    <w:uiPriority w:val="0"/>
    <w:rPr>
      <w:rFonts w:eastAsia="宋体"/>
    </w:rPr>
  </w:style>
  <w:style w:type="character" w:customStyle="1" w:styleId="48">
    <w:name w:val="普通文字 Char3"/>
    <w:qFormat/>
    <w:uiPriority w:val="0"/>
    <w:rPr>
      <w:rFonts w:eastAsia="宋体" w:cs="Courier New"/>
      <w:kern w:val="2"/>
      <w:sz w:val="21"/>
      <w:szCs w:val="21"/>
      <w:lang w:val="en-US" w:eastAsia="zh-CN" w:bidi="ar-SA"/>
    </w:rPr>
  </w:style>
  <w:style w:type="character" w:customStyle="1" w:styleId="49">
    <w:name w:val="批注框文本 Char"/>
    <w:link w:val="25"/>
    <w:qFormat/>
    <w:uiPriority w:val="0"/>
    <w:rPr>
      <w:sz w:val="18"/>
      <w:szCs w:val="18"/>
    </w:rPr>
  </w:style>
  <w:style w:type="character" w:customStyle="1" w:styleId="50">
    <w:name w:val="批注主题 Char"/>
    <w:link w:val="12"/>
    <w:qFormat/>
    <w:uiPriority w:val="0"/>
    <w:rPr>
      <w:b/>
      <w:bCs/>
    </w:rPr>
  </w:style>
  <w:style w:type="character" w:customStyle="1" w:styleId="51">
    <w:name w:val="纯文本 Char"/>
    <w:link w:val="21"/>
    <w:qFormat/>
    <w:uiPriority w:val="0"/>
    <w:rPr>
      <w:rFonts w:ascii="宋体" w:hAnsi="Courier New" w:eastAsia="宋体"/>
    </w:rPr>
  </w:style>
  <w:style w:type="character" w:customStyle="1" w:styleId="52">
    <w:name w:val="正文文本缩进 2 Char"/>
    <w:link w:val="23"/>
    <w:qFormat/>
    <w:uiPriority w:val="0"/>
    <w:rPr>
      <w:rFonts w:ascii="Times New Roman" w:hAnsi="Times New Roman" w:eastAsia="宋体" w:cs="Times New Roman"/>
      <w:sz w:val="32"/>
      <w:szCs w:val="20"/>
    </w:rPr>
  </w:style>
  <w:style w:type="character" w:customStyle="1" w:styleId="53">
    <w:name w:val="文字主体 Char"/>
    <w:link w:val="54"/>
    <w:qFormat/>
    <w:uiPriority w:val="0"/>
    <w:rPr>
      <w:rFonts w:eastAsia="仿宋"/>
      <w:kern w:val="2"/>
      <w:sz w:val="28"/>
    </w:rPr>
  </w:style>
  <w:style w:type="paragraph" w:customStyle="1" w:styleId="54">
    <w:name w:val="文字主体"/>
    <w:basedOn w:val="1"/>
    <w:link w:val="53"/>
    <w:qFormat/>
    <w:uiPriority w:val="0"/>
    <w:pPr>
      <w:spacing w:line="360" w:lineRule="auto"/>
      <w:ind w:firstLine="560" w:firstLineChars="200"/>
    </w:pPr>
    <w:rPr>
      <w:rFonts w:eastAsia="仿宋"/>
      <w:sz w:val="28"/>
    </w:rPr>
  </w:style>
  <w:style w:type="character" w:customStyle="1" w:styleId="55">
    <w:name w:val="正文首行缩进 2 Char"/>
    <w:link w:val="27"/>
    <w:qFormat/>
    <w:uiPriority w:val="0"/>
    <w:rPr>
      <w:rFonts w:ascii="Times New Roman" w:hAnsi="Times New Roman" w:eastAsia="宋体" w:cs="Times New Roman"/>
      <w:kern w:val="2"/>
      <w:sz w:val="21"/>
      <w:szCs w:val="20"/>
    </w:rPr>
  </w:style>
  <w:style w:type="character" w:customStyle="1" w:styleId="56">
    <w:name w:val="正文文本 3 Char"/>
    <w:link w:val="17"/>
    <w:qFormat/>
    <w:uiPriority w:val="0"/>
    <w:rPr>
      <w:rFonts w:ascii="Times New Roman" w:hAnsi="Times New Roman" w:eastAsia="宋体" w:cs="Times New Roman"/>
      <w:b/>
      <w:sz w:val="24"/>
      <w:szCs w:val="20"/>
    </w:rPr>
  </w:style>
  <w:style w:type="character" w:customStyle="1" w:styleId="57">
    <w:name w:val="正文首行缩进 Char"/>
    <w:basedOn w:val="58"/>
    <w:link w:val="14"/>
    <w:qFormat/>
    <w:uiPriority w:val="0"/>
    <w:rPr>
      <w:rFonts w:ascii="Times New Roman" w:hAnsi="Times New Roman" w:eastAsia="宋体" w:cs="Times New Roman"/>
      <w:szCs w:val="20"/>
    </w:rPr>
  </w:style>
  <w:style w:type="character" w:customStyle="1" w:styleId="58">
    <w:name w:val="正文文本 Char"/>
    <w:link w:val="15"/>
    <w:qFormat/>
    <w:uiPriority w:val="0"/>
    <w:rPr>
      <w:rFonts w:ascii="Times New Roman" w:hAnsi="Times New Roman" w:eastAsia="宋体" w:cs="Times New Roman"/>
      <w:szCs w:val="20"/>
    </w:rPr>
  </w:style>
  <w:style w:type="character" w:customStyle="1" w:styleId="59">
    <w:name w:val="批注框文本 Char1"/>
    <w:semiHidden/>
    <w:qFormat/>
    <w:uiPriority w:val="99"/>
    <w:rPr>
      <w:rFonts w:ascii="Times New Roman" w:hAnsi="Times New Roman" w:eastAsia="宋体" w:cs="Times New Roman"/>
      <w:sz w:val="18"/>
      <w:szCs w:val="18"/>
    </w:rPr>
  </w:style>
  <w:style w:type="character" w:customStyle="1" w:styleId="60">
    <w:name w:val="正文首行缩进两字符 Char Char"/>
    <w:link w:val="61"/>
    <w:qFormat/>
    <w:uiPriority w:val="0"/>
    <w:rPr>
      <w:rFonts w:eastAsia="宋体"/>
    </w:rPr>
  </w:style>
  <w:style w:type="paragraph" w:customStyle="1" w:styleId="61">
    <w:name w:val="正文首行缩进两字符"/>
    <w:basedOn w:val="1"/>
    <w:link w:val="60"/>
    <w:qFormat/>
    <w:uiPriority w:val="0"/>
    <w:pPr>
      <w:spacing w:line="360" w:lineRule="auto"/>
      <w:ind w:firstLine="200" w:firstLineChars="200"/>
    </w:pPr>
    <w:rPr>
      <w:kern w:val="0"/>
      <w:sz w:val="20"/>
    </w:rPr>
  </w:style>
  <w:style w:type="character" w:customStyle="1" w:styleId="62">
    <w:name w:val="尾注文本 Char"/>
    <w:link w:val="24"/>
    <w:semiHidden/>
    <w:qFormat/>
    <w:uiPriority w:val="99"/>
    <w:rPr>
      <w:kern w:val="2"/>
      <w:sz w:val="21"/>
    </w:rPr>
  </w:style>
  <w:style w:type="character" w:customStyle="1" w:styleId="63">
    <w:name w:val="纯文本 Char4"/>
    <w:qFormat/>
    <w:uiPriority w:val="0"/>
    <w:rPr>
      <w:rFonts w:ascii="宋体" w:hAnsi="Courier New" w:eastAsia="宋体" w:cs="Courier New"/>
      <w:kern w:val="2"/>
      <w:sz w:val="21"/>
      <w:szCs w:val="21"/>
      <w:lang w:val="en-US" w:eastAsia="zh-CN" w:bidi="ar-SA"/>
    </w:rPr>
  </w:style>
  <w:style w:type="character" w:customStyle="1" w:styleId="64">
    <w:name w:val="正文首行缩进两字符 Char"/>
    <w:qFormat/>
    <w:uiPriority w:val="0"/>
    <w:rPr>
      <w:rFonts w:eastAsia="宋体"/>
      <w:kern w:val="2"/>
      <w:sz w:val="21"/>
      <w:szCs w:val="24"/>
      <w:lang w:val="en-US" w:eastAsia="zh-CN" w:bidi="ar-SA"/>
    </w:rPr>
  </w:style>
  <w:style w:type="character" w:customStyle="1" w:styleId="65">
    <w:name w:val="标题 9 Char"/>
    <w:link w:val="11"/>
    <w:qFormat/>
    <w:uiPriority w:val="0"/>
    <w:rPr>
      <w:rFonts w:ascii="Arial" w:hAnsi="Arial" w:eastAsia="黑体" w:cs="Times New Roman"/>
      <w:szCs w:val="20"/>
    </w:rPr>
  </w:style>
  <w:style w:type="character" w:customStyle="1" w:styleId="66">
    <w:name w:val="textnorm_chn1"/>
    <w:qFormat/>
    <w:uiPriority w:val="0"/>
    <w:rPr>
      <w:rFonts w:hint="default" w:ascii="Arial" w:hAnsi="Arial"/>
      <w:color w:val="21254A"/>
      <w:sz w:val="22"/>
    </w:rPr>
  </w:style>
  <w:style w:type="character" w:customStyle="1" w:styleId="67">
    <w:name w:val="日期 Char"/>
    <w:link w:val="22"/>
    <w:qFormat/>
    <w:uiPriority w:val="0"/>
    <w:rPr>
      <w:rFonts w:ascii="Times New Roman" w:hAnsi="Times New Roman" w:eastAsia="黑体" w:cs="Times New Roman"/>
      <w:sz w:val="36"/>
      <w:szCs w:val="20"/>
    </w:rPr>
  </w:style>
  <w:style w:type="character" w:customStyle="1" w:styleId="68">
    <w:name w:val="unnamed31"/>
    <w:qFormat/>
    <w:uiPriority w:val="0"/>
    <w:rPr>
      <w:sz w:val="22"/>
    </w:rPr>
  </w:style>
  <w:style w:type="character" w:customStyle="1" w:styleId="69">
    <w:name w:val="页眉 Char"/>
    <w:link w:val="28"/>
    <w:qFormat/>
    <w:uiPriority w:val="0"/>
    <w:rPr>
      <w:sz w:val="18"/>
      <w:szCs w:val="18"/>
    </w:rPr>
  </w:style>
  <w:style w:type="character" w:customStyle="1" w:styleId="70">
    <w:name w:val="标题 3 Char Char Char"/>
    <w:qFormat/>
    <w:uiPriority w:val="0"/>
    <w:rPr>
      <w:rFonts w:eastAsia="宋体"/>
      <w:b/>
      <w:kern w:val="2"/>
      <w:sz w:val="32"/>
      <w:lang w:val="en-US" w:eastAsia="zh-CN"/>
    </w:rPr>
  </w:style>
  <w:style w:type="character" w:customStyle="1" w:styleId="71">
    <w:name w:val="标题 1 Char"/>
    <w:link w:val="2"/>
    <w:qFormat/>
    <w:uiPriority w:val="0"/>
    <w:rPr>
      <w:rFonts w:ascii="Times New Roman" w:hAnsi="Times New Roman" w:eastAsia="宋体" w:cs="Times New Roman"/>
      <w:b/>
      <w:kern w:val="44"/>
      <w:sz w:val="32"/>
      <w:szCs w:val="20"/>
    </w:rPr>
  </w:style>
  <w:style w:type="character" w:customStyle="1" w:styleId="72">
    <w:name w:val="标题 5 Char"/>
    <w:link w:val="7"/>
    <w:qFormat/>
    <w:uiPriority w:val="0"/>
    <w:rPr>
      <w:rFonts w:ascii="Times New Roman" w:hAnsi="Times New Roman" w:eastAsia="宋体" w:cs="Times New Roman"/>
      <w:b/>
      <w:sz w:val="28"/>
      <w:szCs w:val="20"/>
    </w:rPr>
  </w:style>
  <w:style w:type="character" w:customStyle="1" w:styleId="73">
    <w:name w:val="标题 2 Char"/>
    <w:link w:val="3"/>
    <w:qFormat/>
    <w:uiPriority w:val="0"/>
    <w:rPr>
      <w:rFonts w:ascii="Arial" w:hAnsi="Arial" w:eastAsia="黑体" w:cs="Times New Roman"/>
      <w:b/>
      <w:sz w:val="28"/>
      <w:szCs w:val="20"/>
    </w:rPr>
  </w:style>
  <w:style w:type="character" w:customStyle="1" w:styleId="74">
    <w:name w:val="font1"/>
    <w:qFormat/>
    <w:uiPriority w:val="0"/>
    <w:rPr>
      <w:color w:val="999999"/>
      <w:sz w:val="18"/>
      <w:u w:val="none"/>
    </w:rPr>
  </w:style>
  <w:style w:type="character" w:customStyle="1" w:styleId="75">
    <w:name w:val="纯文本 Char2"/>
    <w:qFormat/>
    <w:uiPriority w:val="0"/>
    <w:rPr>
      <w:rFonts w:ascii="宋体" w:hAnsi="Courier New"/>
      <w:kern w:val="2"/>
      <w:sz w:val="21"/>
    </w:rPr>
  </w:style>
  <w:style w:type="character" w:customStyle="1" w:styleId="76">
    <w:name w:val="标题 Char"/>
    <w:link w:val="35"/>
    <w:qFormat/>
    <w:uiPriority w:val="10"/>
    <w:rPr>
      <w:rFonts w:ascii="Cambria" w:hAnsi="Cambria"/>
      <w:b/>
      <w:bCs/>
      <w:kern w:val="2"/>
      <w:sz w:val="32"/>
      <w:szCs w:val="32"/>
    </w:rPr>
  </w:style>
  <w:style w:type="character" w:customStyle="1" w:styleId="77">
    <w:name w:val="页脚 Char"/>
    <w:link w:val="26"/>
    <w:qFormat/>
    <w:uiPriority w:val="99"/>
    <w:rPr>
      <w:sz w:val="18"/>
      <w:szCs w:val="18"/>
    </w:rPr>
  </w:style>
  <w:style w:type="character" w:customStyle="1" w:styleId="78">
    <w:name w:val="正文文本缩进 Char"/>
    <w:link w:val="18"/>
    <w:qFormat/>
    <w:uiPriority w:val="0"/>
    <w:rPr>
      <w:rFonts w:ascii="Times New Roman" w:hAnsi="Times New Roman" w:eastAsia="宋体" w:cs="Times New Roman"/>
      <w:sz w:val="32"/>
      <w:szCs w:val="20"/>
    </w:rPr>
  </w:style>
  <w:style w:type="character" w:customStyle="1" w:styleId="79">
    <w:name w:val="文档结构图 Char"/>
    <w:link w:val="16"/>
    <w:qFormat/>
    <w:uiPriority w:val="0"/>
    <w:rPr>
      <w:rFonts w:ascii="Times New Roman" w:hAnsi="Times New Roman" w:eastAsia="宋体" w:cs="Times New Roman"/>
      <w:szCs w:val="20"/>
      <w:shd w:val="clear" w:color="auto" w:fill="000080"/>
    </w:rPr>
  </w:style>
  <w:style w:type="character" w:customStyle="1" w:styleId="80">
    <w:name w:val="正文文本 2 Char"/>
    <w:link w:val="32"/>
    <w:qFormat/>
    <w:uiPriority w:val="0"/>
    <w:rPr>
      <w:rFonts w:ascii="Times New Roman" w:hAnsi="Times New Roman" w:eastAsia="宋体" w:cs="Times New Roman"/>
      <w:szCs w:val="20"/>
    </w:rPr>
  </w:style>
  <w:style w:type="character" w:customStyle="1" w:styleId="81">
    <w:name w:val="unnamed11"/>
    <w:qFormat/>
    <w:uiPriority w:val="0"/>
    <w:rPr>
      <w:rFonts w:hint="default" w:ascii="ˎ̥" w:hAnsi="ˎ̥"/>
      <w:sz w:val="14"/>
      <w:vertAlign w:val="superscript"/>
    </w:rPr>
  </w:style>
  <w:style w:type="character" w:customStyle="1" w:styleId="82">
    <w:name w:val="正文文本缩进 3 Char"/>
    <w:link w:val="30"/>
    <w:qFormat/>
    <w:uiPriority w:val="0"/>
    <w:rPr>
      <w:rFonts w:ascii="黑体" w:hAnsi="Times New Roman" w:eastAsia="黑体" w:cs="Times New Roman"/>
      <w:sz w:val="30"/>
      <w:szCs w:val="20"/>
    </w:rPr>
  </w:style>
  <w:style w:type="character" w:customStyle="1" w:styleId="83">
    <w:name w:val="Char Char Char"/>
    <w:link w:val="84"/>
    <w:qFormat/>
    <w:uiPriority w:val="0"/>
    <w:rPr>
      <w:rFonts w:eastAsia="宋体"/>
      <w:b/>
      <w:sz w:val="32"/>
    </w:rPr>
  </w:style>
  <w:style w:type="paragraph" w:customStyle="1" w:styleId="84">
    <w:name w:val="Char"/>
    <w:basedOn w:val="1"/>
    <w:link w:val="83"/>
    <w:qFormat/>
    <w:uiPriority w:val="0"/>
    <w:pPr>
      <w:widowControl/>
      <w:spacing w:before="100" w:beforeAutospacing="1" w:after="100" w:afterAutospacing="1" w:line="360" w:lineRule="auto"/>
      <w:jc w:val="left"/>
    </w:pPr>
    <w:rPr>
      <w:b/>
      <w:kern w:val="0"/>
      <w:sz w:val="32"/>
    </w:rPr>
  </w:style>
  <w:style w:type="character" w:customStyle="1" w:styleId="85">
    <w:name w:val="纯文本 Char1"/>
    <w:semiHidden/>
    <w:qFormat/>
    <w:uiPriority w:val="99"/>
    <w:rPr>
      <w:rFonts w:ascii="宋体" w:hAnsi="Courier New" w:eastAsia="宋体" w:cs="Courier New"/>
      <w:szCs w:val="21"/>
    </w:rPr>
  </w:style>
  <w:style w:type="character" w:customStyle="1" w:styleId="86">
    <w:name w:val="lxs1"/>
    <w:qFormat/>
    <w:uiPriority w:val="0"/>
    <w:rPr>
      <w:rFonts w:hint="default" w:ascii="ˎ̥" w:hAnsi="ˎ̥"/>
      <w:sz w:val="21"/>
    </w:rPr>
  </w:style>
  <w:style w:type="character" w:customStyle="1" w:styleId="87">
    <w:name w:val="标题 8 Char"/>
    <w:link w:val="10"/>
    <w:qFormat/>
    <w:uiPriority w:val="0"/>
    <w:rPr>
      <w:rFonts w:ascii="Arial" w:hAnsi="Arial" w:eastAsia="黑体" w:cs="Times New Roman"/>
      <w:sz w:val="24"/>
      <w:szCs w:val="20"/>
    </w:rPr>
  </w:style>
  <w:style w:type="character" w:customStyle="1" w:styleId="88">
    <w:name w:val="标题 6 Char"/>
    <w:link w:val="8"/>
    <w:qFormat/>
    <w:uiPriority w:val="0"/>
    <w:rPr>
      <w:rFonts w:ascii="Arial" w:hAnsi="Arial" w:eastAsia="黑体" w:cs="Times New Roman"/>
      <w:b/>
      <w:sz w:val="24"/>
      <w:szCs w:val="20"/>
    </w:rPr>
  </w:style>
  <w:style w:type="character" w:customStyle="1" w:styleId="89">
    <w:name w:val="批注文字 Char1"/>
    <w:link w:val="13"/>
    <w:semiHidden/>
    <w:qFormat/>
    <w:uiPriority w:val="99"/>
    <w:rPr>
      <w:rFonts w:ascii="Times New Roman" w:hAnsi="Times New Roman" w:eastAsia="宋体" w:cs="Times New Roman"/>
      <w:szCs w:val="20"/>
    </w:rPr>
  </w:style>
  <w:style w:type="character" w:customStyle="1" w:styleId="90">
    <w:name w:val="批注文字 Char"/>
    <w:qFormat/>
    <w:uiPriority w:val="0"/>
    <w:rPr>
      <w:kern w:val="2"/>
      <w:sz w:val="21"/>
    </w:rPr>
  </w:style>
  <w:style w:type="character" w:customStyle="1" w:styleId="91">
    <w:name w:val="批注主题 Char1"/>
    <w:semiHidden/>
    <w:qFormat/>
    <w:uiPriority w:val="99"/>
    <w:rPr>
      <w:rFonts w:ascii="Times New Roman" w:hAnsi="Times New Roman" w:eastAsia="宋体" w:cs="Times New Roman"/>
      <w:b/>
      <w:bCs/>
      <w:szCs w:val="20"/>
    </w:rPr>
  </w:style>
  <w:style w:type="character" w:customStyle="1" w:styleId="92">
    <w:name w:val="bigheadbl1"/>
    <w:qFormat/>
    <w:uiPriority w:val="0"/>
    <w:rPr>
      <w:b/>
      <w:color w:val="000000"/>
      <w:sz w:val="21"/>
    </w:rPr>
  </w:style>
  <w:style w:type="character" w:customStyle="1" w:styleId="93">
    <w:name w:val="文字样式 Char Char"/>
    <w:link w:val="94"/>
    <w:qFormat/>
    <w:uiPriority w:val="0"/>
    <w:rPr>
      <w:rFonts w:eastAsia="宋体"/>
      <w:sz w:val="24"/>
    </w:rPr>
  </w:style>
  <w:style w:type="paragraph" w:customStyle="1" w:styleId="94">
    <w:name w:val="文字样式"/>
    <w:basedOn w:val="1"/>
    <w:link w:val="93"/>
    <w:qFormat/>
    <w:uiPriority w:val="0"/>
    <w:pPr>
      <w:spacing w:line="360" w:lineRule="auto"/>
      <w:ind w:firstLine="480" w:firstLineChars="200"/>
    </w:pPr>
    <w:rPr>
      <w:kern w:val="0"/>
      <w:sz w:val="24"/>
    </w:rPr>
  </w:style>
  <w:style w:type="character" w:customStyle="1" w:styleId="95">
    <w:name w:val="标题 3 Char"/>
    <w:link w:val="5"/>
    <w:qFormat/>
    <w:uiPriority w:val="0"/>
    <w:rPr>
      <w:rFonts w:ascii="Times New Roman" w:hAnsi="Times New Roman" w:eastAsia="宋体" w:cs="Times New Roman"/>
      <w:b/>
      <w:sz w:val="32"/>
      <w:szCs w:val="20"/>
    </w:rPr>
  </w:style>
  <w:style w:type="paragraph" w:customStyle="1" w:styleId="9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7">
    <w:name w:val="默认段落字体 Para Char Char Char Char Char Char Char Char Char1 Char Char Char Char"/>
    <w:basedOn w:val="1"/>
    <w:qFormat/>
    <w:uiPriority w:val="0"/>
    <w:rPr>
      <w:rFonts w:ascii="Tahoma" w:hAnsi="Tahoma"/>
      <w:sz w:val="24"/>
    </w:rPr>
  </w:style>
  <w:style w:type="paragraph" w:customStyle="1" w:styleId="98">
    <w:name w:val="xl30"/>
    <w:basedOn w:val="1"/>
    <w:qFormat/>
    <w:uiPriority w:val="0"/>
    <w:pPr>
      <w:widowControl/>
      <w:spacing w:before="100" w:beforeAutospacing="1" w:after="100" w:afterAutospacing="1"/>
      <w:jc w:val="center"/>
      <w:textAlignment w:val="center"/>
    </w:pPr>
    <w:rPr>
      <w:rFonts w:eastAsia="Arial Unicode MS"/>
      <w:kern w:val="0"/>
      <w:sz w:val="24"/>
    </w:rPr>
  </w:style>
  <w:style w:type="paragraph" w:customStyle="1" w:styleId="99">
    <w:name w:val="列出段落1"/>
    <w:basedOn w:val="1"/>
    <w:qFormat/>
    <w:uiPriority w:val="99"/>
    <w:pPr>
      <w:ind w:firstLine="420" w:firstLineChars="200"/>
    </w:pPr>
    <w:rPr>
      <w:rFonts w:ascii="Calibri" w:hAnsi="Calibri" w:cs="Calibri"/>
      <w:szCs w:val="21"/>
    </w:rPr>
  </w:style>
  <w:style w:type="paragraph" w:customStyle="1" w:styleId="100">
    <w:name w:val="Char1"/>
    <w:basedOn w:val="1"/>
    <w:qFormat/>
    <w:uiPriority w:val="0"/>
  </w:style>
  <w:style w:type="paragraph" w:customStyle="1" w:styleId="101">
    <w:name w:val="p14y style6"/>
    <w:basedOn w:val="1"/>
    <w:qFormat/>
    <w:uiPriority w:val="0"/>
    <w:pPr>
      <w:widowControl/>
      <w:spacing w:before="100" w:beforeAutospacing="1" w:after="100" w:afterAutospacing="1" w:line="228" w:lineRule="atLeast"/>
      <w:jc w:val="left"/>
    </w:pPr>
    <w:rPr>
      <w:rFonts w:ascii="宋体" w:hAnsi="宋体"/>
      <w:kern w:val="0"/>
      <w:sz w:val="14"/>
    </w:rPr>
  </w:style>
  <w:style w:type="paragraph" w:customStyle="1" w:styleId="102">
    <w:name w:val="正文文本 21"/>
    <w:basedOn w:val="1"/>
    <w:uiPriority w:val="0"/>
    <w:pPr>
      <w:adjustRightInd w:val="0"/>
      <w:spacing w:line="300" w:lineRule="auto"/>
      <w:jc w:val="center"/>
      <w:textAlignment w:val="baseline"/>
    </w:pPr>
    <w:rPr>
      <w:rFonts w:ascii="宋体" w:hAnsi="宋体"/>
      <w:sz w:val="24"/>
    </w:rPr>
  </w:style>
  <w:style w:type="paragraph" w:customStyle="1" w:styleId="103">
    <w:name w:val="Char1 Char Char Char"/>
    <w:basedOn w:val="1"/>
    <w:qFormat/>
    <w:uiPriority w:val="0"/>
    <w:rPr>
      <w:rFonts w:ascii="Tahoma" w:hAnsi="Tahoma"/>
      <w:sz w:val="30"/>
    </w:rPr>
  </w:style>
  <w:style w:type="paragraph" w:customStyle="1" w:styleId="104">
    <w:name w:val="Char Char Char Char"/>
    <w:basedOn w:val="1"/>
    <w:qFormat/>
    <w:uiPriority w:val="0"/>
    <w:pPr>
      <w:widowControl/>
      <w:spacing w:before="100" w:beforeAutospacing="1" w:after="100" w:afterAutospacing="1" w:line="360" w:lineRule="auto"/>
      <w:jc w:val="left"/>
    </w:pPr>
    <w:rPr>
      <w:rFonts w:ascii="Verdana" w:hAnsi="Verdana"/>
      <w:kern w:val="0"/>
      <w:sz w:val="20"/>
      <w:lang w:eastAsia="en-US"/>
    </w:rPr>
  </w:style>
  <w:style w:type="paragraph" w:customStyle="1" w:styleId="10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6">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 w:type="paragraph" w:customStyle="1" w:styleId="107">
    <w:name w:val="plaintext"/>
    <w:basedOn w:val="1"/>
    <w:qFormat/>
    <w:uiPriority w:val="0"/>
    <w:pPr>
      <w:widowControl/>
      <w:spacing w:before="100" w:beforeAutospacing="1" w:after="100" w:afterAutospacing="1"/>
      <w:jc w:val="left"/>
    </w:pPr>
    <w:rPr>
      <w:rFonts w:ascii="宋体" w:hAnsi="宋体"/>
      <w:kern w:val="0"/>
      <w:sz w:val="24"/>
    </w:rPr>
  </w:style>
  <w:style w:type="paragraph" w:customStyle="1" w:styleId="108">
    <w:name w:val="Char5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09">
    <w:name w:val="Table Text"/>
    <w:basedOn w:val="1"/>
    <w:qFormat/>
    <w:uiPriority w:val="0"/>
    <w:pPr>
      <w:widowControl/>
      <w:spacing w:before="60" w:after="60"/>
      <w:jc w:val="left"/>
    </w:pPr>
    <w:rPr>
      <w:kern w:val="0"/>
    </w:rPr>
  </w:style>
  <w:style w:type="paragraph" w:customStyle="1" w:styleId="110">
    <w:name w:val="headmid"/>
    <w:basedOn w:val="1"/>
    <w:qFormat/>
    <w:uiPriority w:val="0"/>
    <w:pPr>
      <w:widowControl/>
      <w:spacing w:before="100" w:beforeAutospacing="1" w:after="100" w:afterAutospacing="1"/>
      <w:jc w:val="center"/>
    </w:pPr>
    <w:rPr>
      <w:rFonts w:ascii="宋体" w:hAnsi="宋体"/>
      <w:kern w:val="0"/>
      <w:sz w:val="36"/>
    </w:rPr>
  </w:style>
  <w:style w:type="paragraph" w:customStyle="1" w:styleId="111">
    <w:name w:val="Char Char Char Char Char Char1 Char"/>
    <w:basedOn w:val="16"/>
    <w:qFormat/>
    <w:uiPriority w:val="0"/>
    <w:rPr>
      <w:rFonts w:ascii="Tahoma" w:hAnsi="Tahoma"/>
      <w:sz w:val="24"/>
    </w:rPr>
  </w:style>
  <w:style w:type="paragraph" w:customStyle="1" w:styleId="112">
    <w:name w:val="Char Char Char Char Char Char"/>
    <w:basedOn w:val="1"/>
    <w:qFormat/>
    <w:uiPriority w:val="0"/>
    <w:rPr>
      <w:rFonts w:ascii="Tahoma" w:hAnsi="Tahoma"/>
      <w:sz w:val="24"/>
    </w:rPr>
  </w:style>
  <w:style w:type="paragraph" w:customStyle="1" w:styleId="113">
    <w:name w:val="纯文本1"/>
    <w:basedOn w:val="1"/>
    <w:qFormat/>
    <w:uiPriority w:val="0"/>
    <w:pPr>
      <w:adjustRightInd w:val="0"/>
      <w:textAlignment w:val="baseline"/>
    </w:pPr>
    <w:rPr>
      <w:rFonts w:ascii="宋体" w:hAnsi="Courier New"/>
    </w:rPr>
  </w:style>
  <w:style w:type="paragraph" w:customStyle="1" w:styleId="114">
    <w:name w:val="样式 首行缩进:  2 字符"/>
    <w:basedOn w:val="1"/>
    <w:qFormat/>
    <w:uiPriority w:val="0"/>
    <w:pPr>
      <w:spacing w:line="400" w:lineRule="exact"/>
      <w:ind w:firstLine="200" w:firstLineChars="200"/>
    </w:pPr>
    <w:rPr>
      <w:sz w:val="24"/>
    </w:rPr>
  </w:style>
  <w:style w:type="paragraph" w:customStyle="1" w:styleId="115">
    <w:name w:val="Char11"/>
    <w:basedOn w:val="1"/>
    <w:uiPriority w:val="0"/>
    <w:rPr>
      <w:rFonts w:ascii="仿宋_GB2312" w:eastAsia="仿宋_GB2312"/>
      <w:b/>
      <w:sz w:val="32"/>
    </w:rPr>
  </w:style>
  <w:style w:type="paragraph" w:customStyle="1" w:styleId="116">
    <w:name w:val="列表段落1"/>
    <w:basedOn w:val="1"/>
    <w:qFormat/>
    <w:uiPriority w:val="0"/>
    <w:pPr>
      <w:ind w:firstLine="420" w:firstLineChars="200"/>
    </w:pPr>
    <w:rPr>
      <w:sz w:val="18"/>
      <w:szCs w:val="18"/>
    </w:rPr>
  </w:style>
  <w:style w:type="paragraph" w:customStyle="1" w:styleId="117">
    <w:name w:val="表格"/>
    <w:basedOn w:val="1"/>
    <w:qFormat/>
    <w:uiPriority w:val="0"/>
    <w:pPr>
      <w:spacing w:line="400" w:lineRule="exact"/>
    </w:pPr>
    <w:rPr>
      <w:sz w:val="24"/>
    </w:rPr>
  </w:style>
  <w:style w:type="paragraph" w:customStyle="1" w:styleId="118">
    <w:name w:val="_Style 56"/>
    <w:basedOn w:val="1"/>
    <w:uiPriority w:val="0"/>
  </w:style>
  <w:style w:type="paragraph" w:customStyle="1" w:styleId="119">
    <w:name w:val="修订1"/>
    <w:unhideWhenUsed/>
    <w:qFormat/>
    <w:uiPriority w:val="99"/>
    <w:rPr>
      <w:rFonts w:ascii="Times New Roman" w:hAnsi="Times New Roman" w:eastAsia="宋体" w:cs="Times New Roman"/>
      <w:kern w:val="2"/>
      <w:sz w:val="21"/>
      <w:lang w:val="en-US" w:eastAsia="zh-CN" w:bidi="ar-SA"/>
    </w:rPr>
  </w:style>
  <w:style w:type="paragraph" w:customStyle="1" w:styleId="120">
    <w:name w:val="(符号)五标题1.1.1"/>
    <w:basedOn w:val="1"/>
    <w:qFormat/>
    <w:uiPriority w:val="0"/>
    <w:pPr>
      <w:tabs>
        <w:tab w:val="left" w:pos="1260"/>
        <w:tab w:val="left" w:pos="2080"/>
      </w:tabs>
      <w:spacing w:line="500" w:lineRule="exact"/>
      <w:ind w:left="1260" w:hanging="420"/>
    </w:pPr>
    <w:rPr>
      <w:rFonts w:ascii="宋体" w:hAnsi="宋体" w:cs="宋体"/>
      <w:color w:val="000000"/>
      <w:sz w:val="24"/>
    </w:rPr>
  </w:style>
  <w:style w:type="paragraph" w:customStyle="1" w:styleId="121">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2">
    <w:name w:val="smhead"/>
    <w:basedOn w:val="1"/>
    <w:qFormat/>
    <w:uiPriority w:val="0"/>
    <w:pPr>
      <w:widowControl/>
      <w:spacing w:before="100" w:beforeAutospacing="1" w:after="100" w:afterAutospacing="1"/>
      <w:jc w:val="left"/>
    </w:pPr>
    <w:rPr>
      <w:rFonts w:ascii="宋体" w:hAnsi="宋体"/>
      <w:kern w:val="0"/>
    </w:rPr>
  </w:style>
  <w:style w:type="paragraph" w:customStyle="1" w:styleId="123">
    <w:name w:val="标书正文格式"/>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paragraph" w:customStyle="1" w:styleId="124">
    <w:name w:val="样式王"/>
    <w:basedOn w:val="1"/>
    <w:qFormat/>
    <w:uiPriority w:val="0"/>
    <w:rPr>
      <w:szCs w:val="24"/>
    </w:rPr>
  </w:style>
  <w:style w:type="paragraph" w:customStyle="1" w:styleId="125">
    <w:name w:val="正文缩进1"/>
    <w:basedOn w:val="1"/>
    <w:next w:val="1"/>
    <w:qFormat/>
    <w:uiPriority w:val="0"/>
    <w:pPr>
      <w:widowControl/>
      <w:ind w:firstLine="420"/>
    </w:pPr>
    <w:rPr>
      <w:color w:val="000000"/>
    </w:rPr>
  </w:style>
  <w:style w:type="paragraph" w:customStyle="1" w:styleId="126">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7">
    <w:name w:val="Char2 Char Char Char"/>
    <w:basedOn w:val="1"/>
    <w:qFormat/>
    <w:uiPriority w:val="0"/>
    <w:rPr>
      <w:rFonts w:ascii="仿宋_GB2312" w:eastAsia="仿宋_GB2312"/>
      <w:b/>
      <w:sz w:val="32"/>
    </w:rPr>
  </w:style>
  <w:style w:type="paragraph" w:customStyle="1" w:styleId="128">
    <w:name w:val="table head"/>
    <w:basedOn w:val="1"/>
    <w:qFormat/>
    <w:uiPriority w:val="0"/>
    <w:pPr>
      <w:keepNext/>
      <w:keepLines/>
      <w:adjustRightInd w:val="0"/>
      <w:spacing w:line="312" w:lineRule="atLeast"/>
      <w:jc w:val="center"/>
      <w:textAlignment w:val="baseline"/>
    </w:pPr>
    <w:rPr>
      <w:b/>
      <w:kern w:val="0"/>
    </w:rPr>
  </w:style>
  <w:style w:type="paragraph" w:customStyle="1" w:styleId="129">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130">
    <w:name w:val="默认段落字体 Para Char"/>
    <w:basedOn w:val="1"/>
    <w:uiPriority w:val="0"/>
    <w:pPr>
      <w:numPr>
        <w:ilvl w:val="0"/>
        <w:numId w:val="1"/>
      </w:numPr>
      <w:tabs>
        <w:tab w:val="left" w:pos="1440"/>
        <w:tab w:val="clear" w:pos="720"/>
      </w:tabs>
      <w:ind w:firstLine="482"/>
    </w:pPr>
    <w:rPr>
      <w:szCs w:val="24"/>
    </w:rPr>
  </w:style>
  <w:style w:type="table" w:customStyle="1" w:styleId="131">
    <w:name w:val="网格型1"/>
    <w:basedOn w:val="42"/>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32B7A-DBF9-48DC-95EE-8DCEE1A764E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54</Pages>
  <Words>5248</Words>
  <Characters>29916</Characters>
  <Lines>249</Lines>
  <Paragraphs>70</Paragraphs>
  <TotalTime>34</TotalTime>
  <ScaleCrop>false</ScaleCrop>
  <LinksUpToDate>false</LinksUpToDate>
  <CharactersWithSpaces>35094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2021-01-18T05:14:00Z</dcterms:created>
  <dc:creator>正版用户</dc:creator>
  <cp:lastModifiedBy>王柯璇</cp:lastModifiedBy>
  <cp:lastPrinted>2020-06-22T00:46:00Z</cp:lastPrinted>
  <dcterms:modified xsi:type="dcterms:W3CDTF">2021-01-18T09:07:03Z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