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黑龙江省交通投资集团有限公司</w:t>
      </w:r>
    </w:p>
    <w:p>
      <w:pPr>
        <w:autoSpaceDE w:val="0"/>
        <w:autoSpaceDN w:val="0"/>
        <w:adjustRightInd w:val="0"/>
        <w:spacing w:line="24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2022年度市场化选聘工作项目</w:t>
      </w:r>
    </w:p>
    <w:p>
      <w:pPr>
        <w:pStyle w:val="2"/>
        <w:rPr>
          <w:rFonts w:hint="eastAsia" w:ascii="宋体" w:hAnsi="宋体"/>
          <w:b/>
          <w:color w:val="000000" w:themeColor="text1"/>
          <w:sz w:val="44"/>
          <w:szCs w:val="44"/>
          <w:lang w:val="en-US" w:eastAsia="zh-CN"/>
          <w14:textFill>
            <w14:solidFill>
              <w14:schemeClr w14:val="tx1"/>
            </w14:solidFill>
          </w14:textFill>
        </w:rPr>
      </w:pPr>
    </w:p>
    <w:p>
      <w:pPr>
        <w:rPr>
          <w:rFonts w:hint="eastAsia" w:ascii="宋体" w:hAnsi="宋体"/>
          <w:b/>
          <w:color w:val="000000" w:themeColor="text1"/>
          <w:sz w:val="44"/>
          <w:szCs w:val="44"/>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FYZB-2022-0946</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ind w:firstLine="1606" w:firstLineChars="500"/>
        <w:jc w:val="both"/>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黑龙江省交通投资集团有限公司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cs="Times New Roman"/>
          <w:b/>
          <w:color w:val="000000" w:themeColor="text1"/>
          <w:kern w:val="2"/>
          <w:sz w:val="32"/>
          <w:szCs w:val="32"/>
          <w:lang w:val="en-US" w:eastAsia="zh-CN" w:bidi="ar-SA"/>
          <w14:textFill>
            <w14:solidFill>
              <w14:schemeClr w14:val="tx1"/>
            </w14:solidFill>
          </w14:textFill>
        </w:rPr>
        <w:t xml:space="preserve">  </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185037690"/>
      <w:bookmarkStart w:id="3" w:name="_Toc145806782"/>
      <w:bookmarkStart w:id="4" w:name="_Toc211570245"/>
      <w:bookmarkStart w:id="5" w:name="_Toc60537380"/>
      <w:bookmarkStart w:id="6" w:name="_Toc156585290"/>
      <w:bookmarkStart w:id="26" w:name="_GoBack"/>
      <w:bookmarkEnd w:id="26"/>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3"/>
      <w:bookmarkStart w:id="9" w:name="OLE_LINK1"/>
      <w:bookmarkStart w:id="10" w:name="OLE_LINK6"/>
      <w:bookmarkStart w:id="11" w:name="OLE_LINK5"/>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黑龙江省交通投资集团有限公司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黑龙江省交通投资集团有限公司2022年度市场化选聘工作项目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FYZB-2022-0946</w:t>
      </w:r>
    </w:p>
    <w:p>
      <w:pPr>
        <w:pStyle w:val="16"/>
        <w:widowControl/>
        <w:spacing w:before="0" w:beforeAutospacing="0" w:after="0" w:afterAutospacing="0" w:line="360" w:lineRule="auto"/>
        <w:ind w:left="479" w:leftChars="228" w:firstLine="0" w:firstLineChars="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黑龙江省交通投资集团有限公司2022年度市场化选聘工作项目</w:t>
      </w: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招聘宣传策划、招聘网页系统定制开发、笔/面试测评（含职业测评）、雇主IP定制等招聘相关工作项目，</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：合同另行约定。</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合同签订后12个月。</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3.1采购预算金额为950000.00元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，开具增值税发票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10月17</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10月20</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6.2.1保证金金额：小写：19000.00元；大写：壹万玖仟元整。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2022年10月21日10时00分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6.3.1保函手续费：供应商如选择保函形式，需缴纳保函手续费380元整。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950000.00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2022年10月20日10时00分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人：黑龙江省交通投资集团有限公司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址：黑龙江省哈尔滨松北区创新三路899号</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人：王志鹏</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15645530016</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BFE1B3D"/>
    <w:rsid w:val="0CB22F9F"/>
    <w:rsid w:val="0D04699D"/>
    <w:rsid w:val="0D6E2F7E"/>
    <w:rsid w:val="0DB12F8E"/>
    <w:rsid w:val="0DDD3A9A"/>
    <w:rsid w:val="0DEE47C5"/>
    <w:rsid w:val="0EAF2BB4"/>
    <w:rsid w:val="0ED452BB"/>
    <w:rsid w:val="0F31425F"/>
    <w:rsid w:val="0F6415E1"/>
    <w:rsid w:val="108300B5"/>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5067A0"/>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7D78C0"/>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E61AE3"/>
    <w:rsid w:val="30455344"/>
    <w:rsid w:val="30880E08"/>
    <w:rsid w:val="3090164F"/>
    <w:rsid w:val="31527924"/>
    <w:rsid w:val="316D740E"/>
    <w:rsid w:val="31C22C15"/>
    <w:rsid w:val="31C9619C"/>
    <w:rsid w:val="31DC1E70"/>
    <w:rsid w:val="3213787A"/>
    <w:rsid w:val="32587733"/>
    <w:rsid w:val="3267118D"/>
    <w:rsid w:val="32B2084A"/>
    <w:rsid w:val="32C96F9E"/>
    <w:rsid w:val="32CA1104"/>
    <w:rsid w:val="330864CC"/>
    <w:rsid w:val="343814CD"/>
    <w:rsid w:val="34441005"/>
    <w:rsid w:val="34657489"/>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45AD4"/>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4A122DD"/>
    <w:rsid w:val="454D639A"/>
    <w:rsid w:val="458C13D6"/>
    <w:rsid w:val="45CA132C"/>
    <w:rsid w:val="45FC6832"/>
    <w:rsid w:val="46147080"/>
    <w:rsid w:val="46156373"/>
    <w:rsid w:val="46940254"/>
    <w:rsid w:val="46A726A9"/>
    <w:rsid w:val="47204D06"/>
    <w:rsid w:val="47A20B3B"/>
    <w:rsid w:val="47C54249"/>
    <w:rsid w:val="48990C74"/>
    <w:rsid w:val="48B27864"/>
    <w:rsid w:val="498B558E"/>
    <w:rsid w:val="49A62143"/>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776A9"/>
    <w:rsid w:val="4D2F206F"/>
    <w:rsid w:val="4D3F38ED"/>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2B64B4"/>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EDD7F5D"/>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2086</Words>
  <Characters>2491</Characters>
  <Lines>91</Lines>
  <Paragraphs>25</Paragraphs>
  <TotalTime>28</TotalTime>
  <ScaleCrop>false</ScaleCrop>
  <LinksUpToDate>false</LinksUpToDate>
  <CharactersWithSpaces>2569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2022-10-17T00:56:13Z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